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5F08DA" w14:textId="4F56E19F" w:rsidR="00EB19C5" w:rsidRDefault="00EB19C5">
      <w:pPr>
        <w:spacing w:after="160" w:line="259" w:lineRule="auto"/>
        <w:rPr>
          <w:rFonts w:ascii="Calibri" w:hAnsi="Calibri"/>
        </w:rPr>
      </w:pPr>
      <w:bookmarkStart w:id="0" w:name="_GoBack"/>
      <w:bookmarkEnd w:id="0"/>
      <w:r>
        <w:rPr>
          <w:rFonts w:ascii="Calibri" w:hAnsi="Calibri"/>
          <w:i/>
          <w:iCs/>
        </w:rPr>
        <w:t xml:space="preserve">This is a post-peer-review, pre-copy edited version of an article published in </w:t>
      </w:r>
      <w:r>
        <w:rPr>
          <w:rFonts w:ascii="Calibri" w:hAnsi="Calibri"/>
          <w:i/>
          <w:iCs/>
        </w:rPr>
        <w:t>Social Science &amp; Medicine</w:t>
      </w:r>
      <w:r>
        <w:rPr>
          <w:rFonts w:ascii="Calibri" w:hAnsi="Calibri"/>
          <w:i/>
          <w:iCs/>
        </w:rPr>
        <w:t xml:space="preserve">. The definitive publisher-authenticated version of </w:t>
      </w:r>
      <w:r>
        <w:rPr>
          <w:rFonts w:ascii="Calibri" w:hAnsi="Calibri"/>
          <w:i/>
          <w:iCs/>
        </w:rPr>
        <w:t>‘</w:t>
      </w:r>
      <w:r w:rsidRPr="00EB19C5">
        <w:rPr>
          <w:rFonts w:ascii="Calibri" w:hAnsi="Calibri"/>
          <w:i/>
          <w:iCs/>
        </w:rPr>
        <w:t>Can alcohol make you happy? A subjective wellbeing approach (Baumberg Geiger &amp; MacKerron 2016</w:t>
      </w:r>
      <w:r>
        <w:rPr>
          <w:rFonts w:ascii="Calibri" w:hAnsi="Calibri"/>
          <w:i/>
          <w:iCs/>
        </w:rPr>
        <w:t xml:space="preserve">, </w:t>
      </w:r>
      <w:r w:rsidRPr="00EB19C5">
        <w:rPr>
          <w:rFonts w:ascii="Calibri" w:hAnsi="Calibri"/>
          <w:i/>
          <w:iCs/>
        </w:rPr>
        <w:t>Social Science &amp; Medicine, 156(May):184-191</w:t>
      </w:r>
      <w:r>
        <w:rPr>
          <w:rFonts w:ascii="Calibri" w:hAnsi="Calibri"/>
          <w:i/>
          <w:iCs/>
        </w:rPr>
        <w:t xml:space="preserve">) </w:t>
      </w:r>
      <w:r>
        <w:rPr>
          <w:rFonts w:ascii="Calibri" w:hAnsi="Calibri"/>
          <w:i/>
          <w:iCs/>
        </w:rPr>
        <w:t xml:space="preserve">is available at </w:t>
      </w:r>
      <w:hyperlink r:id="rId8" w:history="1">
        <w:r w:rsidRPr="00294942">
          <w:rPr>
            <w:rStyle w:val="Hyperlink"/>
            <w:rFonts w:ascii="Calibri" w:hAnsi="Calibri"/>
          </w:rPr>
          <w:t>http://dx.doi.org/10.1016/j.socscimed.2016.03.034</w:t>
        </w:r>
      </w:hyperlink>
    </w:p>
    <w:p w14:paraId="200064DC" w14:textId="77777777" w:rsidR="00EB19C5" w:rsidRDefault="00EB19C5">
      <w:pPr>
        <w:spacing w:after="160" w:line="259" w:lineRule="auto"/>
        <w:rPr>
          <w:rFonts w:asciiTheme="majorHAnsi" w:eastAsiaTheme="majorEastAsia" w:hAnsiTheme="majorHAnsi" w:cstheme="majorBidi"/>
          <w:caps/>
          <w:color w:val="2E74B5" w:themeColor="accent1" w:themeShade="BF"/>
          <w:sz w:val="32"/>
          <w:szCs w:val="32"/>
        </w:rPr>
      </w:pPr>
    </w:p>
    <w:p w14:paraId="1B3C7F8C" w14:textId="77777777" w:rsidR="00EB19C5" w:rsidRDefault="00EB19C5" w:rsidP="00504FE6">
      <w:pPr>
        <w:pStyle w:val="Heading1"/>
        <w:spacing w:before="0"/>
        <w:jc w:val="center"/>
        <w:rPr>
          <w:caps/>
        </w:rPr>
      </w:pPr>
    </w:p>
    <w:p w14:paraId="3852DDCA" w14:textId="77777777" w:rsidR="00EB19C5" w:rsidRDefault="00EB19C5">
      <w:pPr>
        <w:spacing w:after="160" w:line="259" w:lineRule="auto"/>
        <w:rPr>
          <w:rFonts w:asciiTheme="majorHAnsi" w:eastAsiaTheme="majorEastAsia" w:hAnsiTheme="majorHAnsi" w:cstheme="majorBidi"/>
          <w:caps/>
          <w:color w:val="2E74B5" w:themeColor="accent1" w:themeShade="BF"/>
          <w:sz w:val="32"/>
          <w:szCs w:val="32"/>
        </w:rPr>
      </w:pPr>
      <w:r>
        <w:rPr>
          <w:caps/>
        </w:rPr>
        <w:br w:type="page"/>
      </w:r>
    </w:p>
    <w:p w14:paraId="1689CEB8" w14:textId="531A704B" w:rsidR="00B07D80" w:rsidRPr="00381703" w:rsidRDefault="00B07D80" w:rsidP="00504FE6">
      <w:pPr>
        <w:pStyle w:val="Heading1"/>
        <w:spacing w:before="0"/>
        <w:jc w:val="center"/>
        <w:rPr>
          <w:caps/>
        </w:rPr>
      </w:pPr>
      <w:r w:rsidRPr="00381703">
        <w:rPr>
          <w:caps/>
        </w:rPr>
        <w:lastRenderedPageBreak/>
        <w:t>CAN ALCOHOL MAKE YOU HAPPY?  A</w:t>
      </w:r>
      <w:r w:rsidR="00AE0466">
        <w:rPr>
          <w:caps/>
        </w:rPr>
        <w:t xml:space="preserve"> subjective </w:t>
      </w:r>
      <w:r w:rsidR="00B04FC0" w:rsidRPr="00381703">
        <w:rPr>
          <w:caps/>
        </w:rPr>
        <w:t>Wellbeing Approach</w:t>
      </w:r>
    </w:p>
    <w:p w14:paraId="3FCC15E0" w14:textId="77777777" w:rsidR="00B07D80" w:rsidRPr="00504FE6" w:rsidRDefault="00B07D80" w:rsidP="00504FE6">
      <w:pPr>
        <w:spacing w:line="240" w:lineRule="auto"/>
        <w:rPr>
          <w:b/>
        </w:rPr>
      </w:pPr>
      <w:r w:rsidRPr="00504FE6">
        <w:rPr>
          <w:b/>
        </w:rPr>
        <w:t>Abstract</w:t>
      </w:r>
    </w:p>
    <w:p w14:paraId="7E9411E8" w14:textId="60B583CB" w:rsidR="00B07D80" w:rsidRDefault="00FB372A" w:rsidP="00BD3F4F">
      <w:r>
        <w:t xml:space="preserve">There are surprisingly few discussions of the link between wellbeing and alcohol, and few empirical studies </w:t>
      </w:r>
      <w:r w:rsidR="00362A8A">
        <w:t xml:space="preserve">to underpin </w:t>
      </w:r>
      <w:r>
        <w:t xml:space="preserve">them.  Policymakers have therefore </w:t>
      </w:r>
      <w:r w:rsidR="00CB6D25">
        <w:t xml:space="preserve">typically </w:t>
      </w:r>
      <w:r w:rsidR="00362A8A">
        <w:t xml:space="preserve">considered negative </w:t>
      </w:r>
      <w:r>
        <w:t xml:space="preserve">wellbeing impacts </w:t>
      </w:r>
      <w:r w:rsidR="00362A8A">
        <w:t>while ignoring positive ones,</w:t>
      </w:r>
      <w:r>
        <w:t xml:space="preserve"> </w:t>
      </w:r>
      <w:r w:rsidR="00362A8A">
        <w:t>used gross overestimates of positive impacts via a naïve ‘</w:t>
      </w:r>
      <w:r w:rsidR="00536712">
        <w:t>consumer surplus</w:t>
      </w:r>
      <w:r w:rsidR="00362A8A">
        <w:t>’</w:t>
      </w:r>
      <w:r w:rsidR="00536712">
        <w:t xml:space="preserve"> approach</w:t>
      </w:r>
      <w:r w:rsidR="00362A8A">
        <w:t>, or ignored wellbeing completely</w:t>
      </w:r>
      <w:r w:rsidR="00B07D80" w:rsidRPr="00C764DC">
        <w:t xml:space="preserve">.  </w:t>
      </w:r>
      <w:r w:rsidR="00536712">
        <w:t xml:space="preserve">We </w:t>
      </w:r>
      <w:r w:rsidR="00B07D80" w:rsidRPr="00C764DC">
        <w:t xml:space="preserve">examine </w:t>
      </w:r>
      <w:r w:rsidR="00763979">
        <w:t xml:space="preserve">an </w:t>
      </w:r>
      <w:r w:rsidR="00B07D80" w:rsidRPr="00C764DC">
        <w:t xml:space="preserve">alternative </w:t>
      </w:r>
      <w:r w:rsidR="00EF6511">
        <w:t>subjective wellbeing</w:t>
      </w:r>
      <w:r w:rsidR="00B07D80" w:rsidRPr="00C764DC">
        <w:t xml:space="preserve"> method for </w:t>
      </w:r>
      <w:r w:rsidR="00763979">
        <w:t xml:space="preserve">investigating </w:t>
      </w:r>
      <w:r w:rsidR="00B07D80" w:rsidRPr="00C764DC">
        <w:t>alcohol and wellbeing</w:t>
      </w:r>
      <w:r w:rsidR="00536712">
        <w:t xml:space="preserve">, using </w:t>
      </w:r>
      <w:r w:rsidR="00630440">
        <w:t xml:space="preserve">fixed effects </w:t>
      </w:r>
      <w:r w:rsidR="00763979">
        <w:t xml:space="preserve">analyses </w:t>
      </w:r>
      <w:r w:rsidR="00BD3F4F">
        <w:t xml:space="preserve">of </w:t>
      </w:r>
      <w:r w:rsidR="00630440">
        <w:t>the associations between drinking and wellbeing</w:t>
      </w:r>
      <w:r w:rsidR="00763979">
        <w:t xml:space="preserve"> </w:t>
      </w:r>
      <w:r w:rsidR="00BD3F4F">
        <w:t xml:space="preserve">within two different types of data. Study </w:t>
      </w:r>
      <w:r w:rsidR="00763979">
        <w:t>1</w:t>
      </w:r>
      <w:r w:rsidR="00BD3F4F">
        <w:t xml:space="preserve"> examines</w:t>
      </w:r>
      <w:r w:rsidR="00630440">
        <w:t xml:space="preserve"> wave-to-wave changes </w:t>
      </w:r>
      <w:r w:rsidR="00BD3F4F">
        <w:t xml:space="preserve">in life satisfaction and past-week alcohol consumption/alcohol problems (CAGE) </w:t>
      </w:r>
      <w:r w:rsidR="00763979">
        <w:t xml:space="preserve">from </w:t>
      </w:r>
      <w:r w:rsidR="00630440">
        <w:t xml:space="preserve">a </w:t>
      </w:r>
      <w:r w:rsidR="00E21C8A">
        <w:t xml:space="preserve">representative </w:t>
      </w:r>
      <w:r w:rsidR="00630440">
        <w:t xml:space="preserve">cohort </w:t>
      </w:r>
      <w:r w:rsidR="00BD3F4F">
        <w:t xml:space="preserve">of people born in Britain in 1970, utilising responses at ages 30, 34 and 42 (a sample size of 29,145 observations from 10,107 individuals).   Study 2 examines </w:t>
      </w:r>
      <w:r w:rsidR="00630440" w:rsidRPr="00C764DC">
        <w:t xml:space="preserve">moment-to-moment </w:t>
      </w:r>
      <w:r w:rsidR="00630440">
        <w:t xml:space="preserve">changes </w:t>
      </w:r>
      <w:r w:rsidR="00BD3F4F">
        <w:t xml:space="preserve">in happiness and drinking </w:t>
      </w:r>
      <w:r w:rsidR="00763979">
        <w:t xml:space="preserve">from </w:t>
      </w:r>
      <w:r w:rsidR="00BC2B4A">
        <w:t xml:space="preserve">an </w:t>
      </w:r>
      <w:r w:rsidR="00BD3F4F">
        <w:t>iPhone</w:t>
      </w:r>
      <w:r w:rsidR="00630440">
        <w:t>-based data</w:t>
      </w:r>
      <w:r w:rsidR="00BC2B4A">
        <w:t xml:space="preserve"> set</w:t>
      </w:r>
      <w:r w:rsidR="00BD3F4F">
        <w:t xml:space="preserve"> in Britain 2010-13</w:t>
      </w:r>
      <w:r w:rsidR="00E21C8A">
        <w:t>, which is innovative and large</w:t>
      </w:r>
      <w:r w:rsidR="00BD3F4F">
        <w:t xml:space="preserve"> (2,049,120 observations from 31,302 individuals)</w:t>
      </w:r>
      <w:r w:rsidR="00E21C8A">
        <w:t xml:space="preserve"> but unrepresentative</w:t>
      </w:r>
      <w:r w:rsidR="00B07D80" w:rsidRPr="00C764DC">
        <w:t>.</w:t>
      </w:r>
      <w:r w:rsidR="00BD3F4F">
        <w:t xml:space="preserve">  In Study 1 we find no </w:t>
      </w:r>
      <w:r w:rsidR="00B07D80" w:rsidRPr="00C764DC">
        <w:t>significant relationship between changing drinking levels</w:t>
      </w:r>
      <w:r w:rsidR="00763979">
        <w:t xml:space="preserve"> </w:t>
      </w:r>
      <w:r w:rsidR="00B07D80" w:rsidRPr="00C764DC">
        <w:t>and changing life satisfaction</w:t>
      </w:r>
      <w:r w:rsidR="00293B39">
        <w:t xml:space="preserve"> (p=0.20)</w:t>
      </w:r>
      <w:r w:rsidR="00B07D80" w:rsidRPr="00C764DC">
        <w:t>, but a negative association wi</w:t>
      </w:r>
      <w:r w:rsidR="00BD3F4F">
        <w:t xml:space="preserve">th developing drinking problems </w:t>
      </w:r>
      <w:r w:rsidR="00B07D80" w:rsidRPr="00C764DC">
        <w:t xml:space="preserve">(-0.18 points on a 0-10 scale; p=0.003). </w:t>
      </w:r>
      <w:r w:rsidR="00BD3F4F">
        <w:t xml:space="preserve">In contrast, Study </w:t>
      </w:r>
      <w:r w:rsidR="00B07D80" w:rsidRPr="00C764DC">
        <w:t>2</w:t>
      </w:r>
      <w:r w:rsidR="00BD3F4F">
        <w:t xml:space="preserve"> shows a </w:t>
      </w:r>
      <w:r w:rsidR="00B07D80" w:rsidRPr="00C764DC">
        <w:t xml:space="preserve">strong and consistent moment-to-moment relationship between happiness and drinking </w:t>
      </w:r>
      <w:r w:rsidR="00536712">
        <w:t xml:space="preserve">events </w:t>
      </w:r>
      <w:r w:rsidR="00B07D80" w:rsidRPr="00C764DC">
        <w:t>(+3.8</w:t>
      </w:r>
      <w:r w:rsidR="00B159D5">
        <w:t>8</w:t>
      </w:r>
      <w:r w:rsidR="00B07D80" w:rsidRPr="00C764DC">
        <w:t xml:space="preserve"> points on a 0-100 scale; p&lt;0.001)</w:t>
      </w:r>
      <w:r w:rsidR="00BD3F4F">
        <w:t xml:space="preserve">, although </w:t>
      </w:r>
      <w:r w:rsidR="003C175C">
        <w:t>associations beyond the moment in question are smaller and more inconsistent</w:t>
      </w:r>
      <w:r w:rsidR="00BD3F4F">
        <w:t>.  In conclusion, w</w:t>
      </w:r>
      <w:r w:rsidR="00485820">
        <w:t xml:space="preserve">hile </w:t>
      </w:r>
      <w:r w:rsidR="00E21C8A">
        <w:t>iPhone</w:t>
      </w:r>
      <w:r w:rsidR="0027595D">
        <w:t xml:space="preserve"> </w:t>
      </w:r>
      <w:r w:rsidR="00E21C8A">
        <w:t>users</w:t>
      </w:r>
      <w:r w:rsidR="00B07D80" w:rsidRPr="00C764DC">
        <w:t xml:space="preserve"> are happier </w:t>
      </w:r>
      <w:r w:rsidR="00CC78D6">
        <w:t xml:space="preserve">at the </w:t>
      </w:r>
      <w:r w:rsidR="00CC78D6" w:rsidRPr="000D5565">
        <w:rPr>
          <w:i/>
        </w:rPr>
        <w:t>moment</w:t>
      </w:r>
      <w:r w:rsidR="00CC78D6">
        <w:t xml:space="preserve"> of </w:t>
      </w:r>
      <w:r w:rsidR="00B07D80" w:rsidRPr="00C764DC">
        <w:t>drinking</w:t>
      </w:r>
      <w:r w:rsidR="00485820">
        <w:t xml:space="preserve">, there are only small overspills to </w:t>
      </w:r>
      <w:r w:rsidR="00485820" w:rsidRPr="00BD3F4F">
        <w:rPr>
          <w:i/>
        </w:rPr>
        <w:t>other</w:t>
      </w:r>
      <w:r w:rsidR="00485820">
        <w:t xml:space="preserve"> moments, and </w:t>
      </w:r>
      <w:r w:rsidR="00E21C8A">
        <w:t xml:space="preserve">among the wider population, </w:t>
      </w:r>
      <w:r w:rsidR="00485820">
        <w:t>changing d</w:t>
      </w:r>
      <w:r w:rsidR="00485820" w:rsidRPr="00C764DC">
        <w:t xml:space="preserve">rinking levels </w:t>
      </w:r>
      <w:r w:rsidR="002B56D3">
        <w:t xml:space="preserve">across </w:t>
      </w:r>
      <w:r w:rsidR="00485820">
        <w:t>several years</w:t>
      </w:r>
      <w:r w:rsidR="00485820" w:rsidRPr="00C764DC">
        <w:t xml:space="preserve"> are not associated with </w:t>
      </w:r>
      <w:r w:rsidR="00485820">
        <w:t xml:space="preserve">changing </w:t>
      </w:r>
      <w:r w:rsidR="00485820" w:rsidRPr="00C764DC">
        <w:t>life satisfaction</w:t>
      </w:r>
      <w:r w:rsidR="00B07D80" w:rsidRPr="00C764DC">
        <w:t xml:space="preserve">.  </w:t>
      </w:r>
      <w:r w:rsidR="00485820">
        <w:t xml:space="preserve">Furthermore, drinking problems are associated with lower life satisfaction.  </w:t>
      </w:r>
      <w:r w:rsidR="00B07D80" w:rsidRPr="00C764DC">
        <w:t xml:space="preserve">Simple accounts of the wellbeing impacts of alcohol policies are </w:t>
      </w:r>
      <w:r w:rsidR="00485820">
        <w:t xml:space="preserve">therefore </w:t>
      </w:r>
      <w:r w:rsidR="00B07D80" w:rsidRPr="00C764DC">
        <w:t>likely to be misleading</w:t>
      </w:r>
      <w:r w:rsidR="000C2EEE">
        <w:t xml:space="preserve">.  Policymakers must consider the complexity of different </w:t>
      </w:r>
      <w:r w:rsidR="00485820">
        <w:t xml:space="preserve">policy </w:t>
      </w:r>
      <w:r w:rsidR="000C2EEE">
        <w:t xml:space="preserve">impacts </w:t>
      </w:r>
      <w:r w:rsidR="00485820">
        <w:t>on</w:t>
      </w:r>
      <w:r w:rsidR="000C2EEE">
        <w:t xml:space="preserve"> different conceptions of ‘wellbeing’, </w:t>
      </w:r>
      <w:r w:rsidR="00485820">
        <w:t xml:space="preserve">over different time periods, </w:t>
      </w:r>
      <w:r w:rsidR="000C2EEE">
        <w:t xml:space="preserve">and </w:t>
      </w:r>
      <w:r w:rsidR="008D3A91">
        <w:t xml:space="preserve">among </w:t>
      </w:r>
      <w:r w:rsidR="00536712">
        <w:t xml:space="preserve">different types of </w:t>
      </w:r>
      <w:r w:rsidR="008D3A91">
        <w:t>drinkers</w:t>
      </w:r>
      <w:r w:rsidR="00536712">
        <w:t>.</w:t>
      </w:r>
      <w:r w:rsidR="008D3A91">
        <w:t xml:space="preserve"> </w:t>
      </w:r>
    </w:p>
    <w:p w14:paraId="2FAB8990" w14:textId="77777777" w:rsidR="00381703" w:rsidRPr="00381703" w:rsidRDefault="00381703" w:rsidP="00381703">
      <w:pPr>
        <w:spacing w:after="0"/>
        <w:rPr>
          <w:b/>
        </w:rPr>
      </w:pPr>
      <w:r w:rsidRPr="00381703">
        <w:rPr>
          <w:b/>
        </w:rPr>
        <w:t>Keywords</w:t>
      </w:r>
    </w:p>
    <w:p w14:paraId="1797E8E2" w14:textId="015BE7EE" w:rsidR="00381703" w:rsidRPr="0048142B" w:rsidRDefault="00381703" w:rsidP="00BD3F4F">
      <w:proofErr w:type="gramStart"/>
      <w:r>
        <w:lastRenderedPageBreak/>
        <w:t>subjective</w:t>
      </w:r>
      <w:proofErr w:type="gramEnd"/>
      <w:r>
        <w:t xml:space="preserve"> wellbeing, happiness, policy evaluation, longitudinal analysis; Britain</w:t>
      </w:r>
    </w:p>
    <w:p w14:paraId="117FEAF8" w14:textId="77777777" w:rsidR="00B07D80" w:rsidRDefault="00B07D80" w:rsidP="00504FE6">
      <w:pPr>
        <w:pStyle w:val="Heading1"/>
        <w:sectPr w:rsidR="00B07D80" w:rsidSect="00504FE6">
          <w:footerReference w:type="default" r:id="rId9"/>
          <w:pgSz w:w="11906" w:h="16838"/>
          <w:pgMar w:top="1440" w:right="1440" w:bottom="1440" w:left="1440" w:header="708" w:footer="708" w:gutter="0"/>
          <w:cols w:space="708"/>
          <w:docGrid w:linePitch="360"/>
        </w:sectPr>
      </w:pPr>
    </w:p>
    <w:p w14:paraId="7365DEF8" w14:textId="77777777" w:rsidR="00B07D80" w:rsidRDefault="00B07D80" w:rsidP="00504FE6">
      <w:pPr>
        <w:pStyle w:val="Heading1"/>
      </w:pPr>
      <w:r>
        <w:lastRenderedPageBreak/>
        <w:t>Introduction</w:t>
      </w:r>
    </w:p>
    <w:p w14:paraId="31016ED3" w14:textId="3ACACB6A" w:rsidR="005A6C2C" w:rsidRDefault="008F598C" w:rsidP="00504FE6">
      <w:r>
        <w:t xml:space="preserve">While alcohol </w:t>
      </w:r>
      <w:r w:rsidR="00A03B98">
        <w:t>can lower</w:t>
      </w:r>
      <w:r w:rsidR="00362A8A">
        <w:t xml:space="preserve"> wellbeing</w:t>
      </w:r>
      <w:r w:rsidR="00A03B98">
        <w:t xml:space="preserve"> </w:t>
      </w:r>
      <w:r>
        <w:t>– g</w:t>
      </w:r>
      <w:r w:rsidR="00B07D80">
        <w:t xml:space="preserve">lobally, alcohol is the fifth biggest risk factor for premature death and disability </w:t>
      </w:r>
      <w:r w:rsidR="002B15F0">
        <w:fldChar w:fldCharType="begin">
          <w:fldData xml:space="preserve">PEVuZE5vdGU+PENpdGU+PEF1dGhvcj5MaW08L0F1dGhvcj48WWVhcj4yMDEyPC9ZZWFyPjxSZWNO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</w:fldData>
        </w:fldChar>
      </w:r>
      <w:r w:rsidR="00A03B98">
        <w:instrText xml:space="preserve"> ADDIN EN.CITE </w:instrText>
      </w:r>
      <w:r w:rsidR="00A03B98">
        <w:fldChar w:fldCharType="begin">
          <w:fldData xml:space="preserve">PEVuZE5vdGU+PENpdGU+PEF1dGhvcj5MaW08L0F1dGhvcj48WWVhcj4yMDEyPC9ZZWFyPjxSZWNO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</w:fldData>
        </w:fldChar>
      </w:r>
      <w:r w:rsidR="00A03B98">
        <w:instrText xml:space="preserve"> ADDIN EN.CITE.DATA </w:instrText>
      </w:r>
      <w:r w:rsidR="00A03B98">
        <w:fldChar w:fldCharType="end"/>
      </w:r>
      <w:r w:rsidR="002B15F0">
        <w:fldChar w:fldCharType="separate"/>
      </w:r>
      <w:r w:rsidR="00A03B98">
        <w:rPr>
          <w:noProof/>
        </w:rPr>
        <w:t>(Lim et al, 2012)</w:t>
      </w:r>
      <w:r w:rsidR="002B15F0">
        <w:fldChar w:fldCharType="end"/>
      </w:r>
      <w:r w:rsidR="00B07D80">
        <w:t xml:space="preserve">, as well as having a contributing role to a range of social problems and economic costs </w:t>
      </w:r>
      <w:r w:rsidR="00B07D80" w:rsidRPr="004327E6">
        <w:rPr>
          <w:color w:val="FF0000"/>
        </w:rPr>
        <w:t>(</w:t>
      </w:r>
      <w:r w:rsidR="00C15E87">
        <w:rPr>
          <w:color w:val="FF0000"/>
        </w:rPr>
        <w:t>ANONYMOUS 2006</w:t>
      </w:r>
      <w:r w:rsidR="00B07D80" w:rsidRPr="004327E6">
        <w:rPr>
          <w:color w:val="FF0000"/>
        </w:rPr>
        <w:t>)</w:t>
      </w:r>
      <w:r>
        <w:rPr>
          <w:color w:val="FF0000"/>
        </w:rPr>
        <w:t xml:space="preserve"> </w:t>
      </w:r>
      <w:r w:rsidRPr="00362A8A">
        <w:t xml:space="preserve">– it is </w:t>
      </w:r>
      <w:r>
        <w:t xml:space="preserve">also </w:t>
      </w:r>
      <w:r w:rsidR="00B07D80">
        <w:t xml:space="preserve">clearly a source of </w:t>
      </w:r>
      <w:r>
        <w:t xml:space="preserve">pleasure.  However, there are </w:t>
      </w:r>
      <w:r>
        <w:rPr>
          <w:noProof/>
        </w:rPr>
        <w:t>few empirical studies of</w:t>
      </w:r>
      <w:r w:rsidR="00D86179">
        <w:rPr>
          <w:noProof/>
        </w:rPr>
        <w:t xml:space="preserve"> </w:t>
      </w:r>
      <w:r>
        <w:rPr>
          <w:noProof/>
        </w:rPr>
        <w:t xml:space="preserve"> link</w:t>
      </w:r>
      <w:r w:rsidR="00CB6D25">
        <w:rPr>
          <w:noProof/>
        </w:rPr>
        <w:t>s</w:t>
      </w:r>
      <w:r>
        <w:rPr>
          <w:noProof/>
        </w:rPr>
        <w:t xml:space="preserve"> between </w:t>
      </w:r>
      <w:r>
        <w:t xml:space="preserve">wellbeing and alcohol (see below), and almost no academic discussion of the implications for policy </w:t>
      </w:r>
      <w:r>
        <w:rPr>
          <w:noProof/>
        </w:rPr>
        <w:fldChar w:fldCharType="begin">
          <w:fldData xml:space="preserve">PEVuZE5vdGU+PENpdGU+PEF1dGhvcj5Sb29tPC9BdXRob3I+PFllYXI+MjAwMDwvWWVhcj48UmVj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</w:fldData>
        </w:fldChar>
      </w:r>
      <w:r>
        <w:rPr>
          <w:noProof/>
        </w:rPr>
        <w:instrText xml:space="preserve"> ADDIN EN.CITE </w:instrText>
      </w:r>
      <w:r>
        <w:rPr>
          <w:noProof/>
        </w:rPr>
        <w:fldChar w:fldCharType="begin">
          <w:fldData xml:space="preserve">PEVuZE5vdGU+PENpdGU+PEF1dGhvcj5Sb29tPC9BdXRob3I+PFllYXI+MjAwMDwvWWVhcj48UmVj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</w:fldData>
        </w:fldChar>
      </w:r>
      <w:r>
        <w:rPr>
          <w:noProof/>
        </w:rPr>
        <w:instrText xml:space="preserve"> ADDIN EN.CITE.DATA </w:instrText>
      </w:r>
      <w:r>
        <w:rPr>
          <w:noProof/>
        </w:rPr>
      </w:r>
      <w:r>
        <w:rPr>
          <w:noProof/>
        </w:rPr>
        <w:fldChar w:fldCharType="end"/>
      </w:r>
      <w:r>
        <w:rPr>
          <w:noProof/>
        </w:rPr>
      </w:r>
      <w:r>
        <w:rPr>
          <w:noProof/>
        </w:rPr>
        <w:fldChar w:fldCharType="separate"/>
      </w:r>
      <w:r>
        <w:rPr>
          <w:noProof/>
        </w:rPr>
        <w:t>(rare exceptions being Keane, 2009; Room, 2000)</w:t>
      </w:r>
      <w:r>
        <w:rPr>
          <w:noProof/>
        </w:rPr>
        <w:fldChar w:fldCharType="end"/>
      </w:r>
      <w:r>
        <w:t xml:space="preserve">.  </w:t>
      </w:r>
    </w:p>
    <w:p w14:paraId="30CDE792" w14:textId="59EA3723" w:rsidR="00B07D80" w:rsidRDefault="00CB6D25" w:rsidP="00504FE6">
      <w:r>
        <w:t xml:space="preserve">This lack of evidence is an obstacle to developing evidence-based alcohol policies.  </w:t>
      </w:r>
      <w:r w:rsidR="005A6C2C">
        <w:t xml:space="preserve">The main existing approach for looking at the wellbeing impacts of drinking is the ‘consumer surplus’ approach – but the naïve form that </w:t>
      </w:r>
      <w:r>
        <w:t>ha</w:t>
      </w:r>
      <w:r w:rsidR="005A6C2C">
        <w:t xml:space="preserve">s </w:t>
      </w:r>
      <w:r>
        <w:t xml:space="preserve">sometimes been </w:t>
      </w:r>
      <w:r w:rsidR="005A6C2C">
        <w:t xml:space="preserve">used by policymakers is based on flawed assumptions that produce large overestimates of </w:t>
      </w:r>
      <w:r w:rsidR="00D86179">
        <w:t xml:space="preserve">the </w:t>
      </w:r>
      <w:r w:rsidR="005A6C2C">
        <w:t xml:space="preserve">positive wellbeing impacts of drinking while largely ignoring negative wellbeing impacts (see below).  </w:t>
      </w:r>
      <w:r w:rsidR="00B07D80">
        <w:t xml:space="preserve">For example, </w:t>
      </w:r>
      <w:r w:rsidR="00D86179">
        <w:t xml:space="preserve">in relation to </w:t>
      </w:r>
      <w:r w:rsidR="00B07D80">
        <w:t xml:space="preserve">recent UK Department of Health proposals to introduce minimum unit pricing, the Treasury </w:t>
      </w:r>
      <w:r w:rsidR="00362A8A">
        <w:t xml:space="preserve">conducted an </w:t>
      </w:r>
      <w:r w:rsidR="00B07D80">
        <w:t xml:space="preserve">impact assessment </w:t>
      </w:r>
      <w:r w:rsidR="00362A8A">
        <w:t xml:space="preserve">using this </w:t>
      </w:r>
      <w:r w:rsidR="00B07D80">
        <w:t>approach,</w:t>
      </w:r>
      <w:r w:rsidR="00B07D80" w:rsidRPr="00166B02">
        <w:t xml:space="preserve"> </w:t>
      </w:r>
      <w:r w:rsidR="00B07D80">
        <w:t>and found that the costs of minimum pricing</w:t>
      </w:r>
      <w:r w:rsidR="00D56019">
        <w:t xml:space="preserve"> (via a loss of positive wellbeing)</w:t>
      </w:r>
      <w:r w:rsidR="00B07D80">
        <w:t xml:space="preserve"> outweighed its benefits</w:t>
      </w:r>
      <w:r w:rsidR="00362A8A">
        <w:t>, temporarily halting the policy until a critical note</w:t>
      </w:r>
      <w:r w:rsidR="00D86179">
        <w:t xml:space="preserve"> was received</w:t>
      </w:r>
      <w:r w:rsidR="00362A8A">
        <w:t xml:space="preserve"> from outside experts</w:t>
      </w:r>
      <w:r w:rsidR="00B07D80">
        <w:t xml:space="preserve">. </w:t>
      </w:r>
    </w:p>
    <w:p w14:paraId="6639ABB8" w14:textId="1E7BA456" w:rsidR="00B07D80" w:rsidRDefault="005A6C2C" w:rsidP="005A6C2C">
      <w:r>
        <w:t xml:space="preserve">Conversely, other studies estimate the negative wellbeing impacts of drinking while ignoring any positive impacts.  </w:t>
      </w:r>
      <w:r w:rsidR="000306A2">
        <w:t xml:space="preserve">Recent </w:t>
      </w:r>
      <w:r>
        <w:t xml:space="preserve">studies have found new ways to value negative wellbeing impacts of alcohol, including </w:t>
      </w:r>
      <w:r w:rsidR="00B07D80">
        <w:t xml:space="preserve">wellbeing-related ‘harms to others’ </w:t>
      </w:r>
      <w:r w:rsidR="002B15F0">
        <w:fldChar w:fldCharType="begin"/>
      </w:r>
      <w:r w:rsidR="00DF7C6A">
        <w:instrText xml:space="preserve"> ADDIN EN.CITE &lt;EndNote&gt;&lt;Cite&gt;&lt;Author&gt;Laslett&lt;/Author&gt;&lt;Year&gt;2010&lt;/Year&gt;&lt;RecNum&gt;2209&lt;/RecNum&gt;&lt;DisplayText&gt;(Johansson et al., 2006; Laslett et al., 2010)&lt;/DisplayText&gt;&lt;record&gt;&lt;rec-number&gt;2209&lt;/rec-number&gt;&lt;foreign-keys&gt;&lt;key app="EN" db-id="sttprxrp6925duet9e6pf2zo2drwvda5wf02" timestamp="1406203894"&gt;2209&lt;/key&gt;&lt;/foreign-keys&gt;&lt;ref-type name="Report"&gt;27&lt;/ref-type&gt;&lt;contributors&gt;&lt;authors&gt;&lt;author&gt;Anne-Marie Laslett&lt;/author&gt;&lt;author&gt;Paul Catalano&lt;/author&gt;&lt;author&gt;Tanya Chikritzhs&lt;/author&gt;&lt;author&gt;Caroline Dale&lt;/author&gt;&lt;author&gt;Christopher Doran&lt;/author&gt;&lt;author&gt;Jason Ferris&lt;/author&gt;&lt;author&gt;Thameemul (Ansari) Jainullabudeen&lt;/author&gt;&lt;author&gt;Michael Livingston&lt;/author&gt;&lt;author&gt;Sharon Matthews&lt;/author&gt;&lt;author&gt;Janette Mugavin&lt;/author&gt;&lt;author&gt;Robin Room&lt;/author&gt;&lt;author&gt;Morgan Schlotterlein&lt;/author&gt;&lt;author&gt;Claire Wilkinson&lt;/author&gt;&lt;/authors&gt;&lt;/contributors&gt;&lt;titles&gt;&lt;title&gt;The range and magnitude of alcohol&amp;apos;s harm to others&lt;/title&gt;&lt;/titles&gt;&lt;dates&gt;&lt;year&gt;2010&lt;/year&gt;&lt;/dates&gt;&lt;pub-location&gt;Deakin West, ACT&lt;/pub-location&gt;&lt;publisher&gt;Alcohol Education and Rehabilitation Foundation&lt;/publisher&gt;&lt;urls&gt;&lt;/urls&gt;&lt;/record&gt;&lt;/Cite&gt;&lt;Cite&gt;&lt;Author&gt;Johansson&lt;/Author&gt;&lt;Year&gt;2006&lt;/Year&gt;&lt;RecNum&gt;1864&lt;/RecNum&gt;&lt;record&gt;&lt;rec-number&gt;1864&lt;/rec-number&gt;&lt;foreign-keys&gt;&lt;key app="EN" db-id="sttprxrp6925duet9e6pf2zo2drwvda5wf02" timestamp="0"&gt;1864&lt;/key&gt;&lt;/foreign-keys&gt;&lt;ref-type name="Report"&gt;27&lt;/ref-type&gt;&lt;contributors&gt;&lt;authors&gt;&lt;author&gt;Johansson,P&lt;/author&gt;&lt;author&gt;Jarl, J.&lt;/author&gt;&lt;author&gt;Eriksson, A.&lt;/author&gt;&lt;author&gt;Eriksson,M&lt;/author&gt;&lt;author&gt;Gerdtham,U-G&lt;/author&gt;&lt;author&gt;Hemstrom, O&lt;/author&gt;&lt;author&gt;Hradilova Selin, K.&lt;/author&gt;&lt;author&gt;Lenke, L.&lt;/author&gt;&lt;author&gt;Ramstedt, M.&lt;/author&gt;&lt;author&gt;Room, R&lt;/author&gt;&lt;/authors&gt;&lt;/contributors&gt;&lt;titles&gt;&lt;title&gt;The social costs of alcohol in Sweden 2002&lt;/title&gt;&lt;secondary-title&gt;SoRAD Rapportserie, nr 36&lt;/secondary-title&gt;&lt;/titles&gt;&lt;dates&gt;&lt;year&gt;2006&lt;/year&gt;&lt;/dates&gt;&lt;pub-location&gt;Stockholm&lt;/pub-location&gt;&lt;publisher&gt;Stockholms Universitet, SoRAD&lt;/publisher&gt;&lt;urls&gt;&lt;/urls&gt;&lt;/record&gt;&lt;/Cite&gt;&lt;/EndNote&gt;</w:instrText>
      </w:r>
      <w:r w:rsidR="002B15F0">
        <w:fldChar w:fldCharType="separate"/>
      </w:r>
      <w:r w:rsidR="00DF7C6A">
        <w:rPr>
          <w:noProof/>
        </w:rPr>
        <w:t>(Johansson et al., 2006; Laslett et al., 2010)</w:t>
      </w:r>
      <w:r w:rsidR="002B15F0">
        <w:fldChar w:fldCharType="end"/>
      </w:r>
      <w:r w:rsidR="003C175C">
        <w:t xml:space="preserve">, and </w:t>
      </w:r>
      <w:r w:rsidR="00673BFD">
        <w:t xml:space="preserve">reduced </w:t>
      </w:r>
      <w:r w:rsidR="00B07D80">
        <w:t xml:space="preserve">health-related quality-of-life </w:t>
      </w:r>
      <w:r w:rsidR="00AF6965">
        <w:t xml:space="preserve">among </w:t>
      </w:r>
      <w:r w:rsidR="00B07D80">
        <w:t>people with an alcohol use disorder</w:t>
      </w:r>
      <w:r w:rsidR="003C175C">
        <w:t xml:space="preserve"> </w:t>
      </w:r>
      <w:r w:rsidR="002B15F0">
        <w:rPr>
          <w:noProof/>
        </w:rPr>
        <w:fldChar w:fldCharType="begin"/>
      </w:r>
      <w:r w:rsidR="003C175C">
        <w:rPr>
          <w:noProof/>
        </w:rPr>
        <w:instrText xml:space="preserve"> ADDIN EN.CITE &lt;EndNote&gt;&lt;Cite&gt;&lt;Author&gt;Johansson&lt;/Author&gt;&lt;Year&gt;2006&lt;/Year&gt;&lt;RecNum&gt;1864&lt;/RecNum&gt;&lt;DisplayText&gt;(Johansson et al., 2006)&lt;/DisplayText&gt;&lt;record&gt;&lt;rec-number&gt;1864&lt;/rec-number&gt;&lt;foreign-keys&gt;&lt;key app="EN" db-id="sttprxrp6925duet9e6pf2zo2drwvda5wf02" timestamp="0"&gt;1864&lt;/key&gt;&lt;/foreign-keys&gt;&lt;ref-type name="Report"&gt;27&lt;/ref-type&gt;&lt;contributors&gt;&lt;authors&gt;&lt;author&gt;Johansson,P&lt;/author&gt;&lt;author&gt;Jarl, J.&lt;/author&gt;&lt;author&gt;Eriksson, A.&lt;/author&gt;&lt;author&gt;Eriksson,M&lt;/author&gt;&lt;author&gt;Gerdtham,U-G&lt;/author&gt;&lt;author&gt;Hemstrom, O&lt;/author&gt;&lt;author&gt;Hradilova Selin, K.&lt;/author&gt;&lt;author&gt;Lenke, L.&lt;/author&gt;&lt;author&gt;Ramstedt, M.&lt;/author&gt;&lt;author&gt;Room, R&lt;/author&gt;&lt;/authors&gt;&lt;/contributors&gt;&lt;titles&gt;&lt;title&gt;The social costs of alcohol in Sweden 2002&lt;/title&gt;&lt;secondary-title&gt;SoRAD Rapportserie, nr 36&lt;/secondary-title&gt;&lt;/titles&gt;&lt;dates&gt;&lt;year&gt;2006&lt;/year&gt;&lt;/dates&gt;&lt;pub-location&gt;Stockholm&lt;/pub-location&gt;&lt;publisher&gt;Stockholms Universitet, SoRAD&lt;/publisher&gt;&lt;urls&gt;&lt;/urls&gt;&lt;/record&gt;&lt;/Cite&gt;&lt;/EndNote&gt;</w:instrText>
      </w:r>
      <w:r w:rsidR="002B15F0">
        <w:rPr>
          <w:noProof/>
        </w:rPr>
        <w:fldChar w:fldCharType="separate"/>
      </w:r>
      <w:r w:rsidR="003C175C">
        <w:rPr>
          <w:noProof/>
        </w:rPr>
        <w:t>(Johansson et al., 2006)</w:t>
      </w:r>
      <w:r w:rsidR="002B15F0">
        <w:rPr>
          <w:noProof/>
        </w:rPr>
        <w:fldChar w:fldCharType="end"/>
      </w:r>
      <w:r w:rsidR="00B07D80">
        <w:t xml:space="preserve">. </w:t>
      </w:r>
      <w:r>
        <w:t>However, positive wellbeing impacts are barely mentioned</w:t>
      </w:r>
      <w:r w:rsidRPr="00C60524">
        <w:t>.</w:t>
      </w:r>
      <w:r>
        <w:t xml:space="preserve">  </w:t>
      </w:r>
      <w:r w:rsidR="00E65B66">
        <w:t>For example, t</w:t>
      </w:r>
      <w:r w:rsidR="00B07D80">
        <w:t xml:space="preserve">he </w:t>
      </w:r>
      <w:r w:rsidR="0036714E">
        <w:t xml:space="preserve">leading </w:t>
      </w:r>
      <w:r w:rsidR="0036714E">
        <w:rPr>
          <w:i/>
        </w:rPr>
        <w:t xml:space="preserve">ex ante </w:t>
      </w:r>
      <w:r w:rsidR="0036714E">
        <w:t xml:space="preserve">impact assessment of alcohol policies, the </w:t>
      </w:r>
      <w:r w:rsidR="00B07D80">
        <w:t>Sheffield Alcohol Policy Model</w:t>
      </w:r>
      <w:r w:rsidR="0036714E">
        <w:t>,</w:t>
      </w:r>
      <w:r w:rsidR="00B07D80">
        <w:t xml:space="preserve"> estimates that a 50p minimum price in Britain would lead to wellbeing benefits worth more than £2bn over 10 years </w:t>
      </w:r>
      <w:r w:rsidR="002B15F0">
        <w:fldChar w:fldCharType="begin"/>
      </w:r>
      <w:r w:rsidR="00DF7C6A">
        <w:instrText xml:space="preserve"> ADDIN EN.CITE &lt;EndNote&gt;&lt;Cite&gt;&lt;Author&gt;Purshouse&lt;/Author&gt;&lt;Year&gt;2009&lt;/Year&gt;&lt;RecNum&gt;2163&lt;/RecNum&gt;&lt;Suffix&gt;`, p112&lt;/Suffix&gt;&lt;DisplayText&gt;(Purshouse et al., 2009, p112)&lt;/DisplayText&gt;&lt;record&gt;&lt;rec-number&gt;2163&lt;/rec-number&gt;&lt;foreign-keys&gt;&lt;key app="EN" db-id="sttprxrp6925duet9e6pf2zo2drwvda5wf02" timestamp="1399290455"&gt;2163&lt;/key&gt;&lt;/foreign-keys&gt;&lt;ref-type name="Report"&gt;27&lt;/ref-type&gt;&lt;contributors&gt;&lt;authors&gt;&lt;author&gt;Robin Purshouse&lt;/author&gt;&lt;author&gt;Alan Brennan&lt;/author&gt;&lt;author&gt;Nick Latimer&lt;/author&gt;&lt;author&gt;Yang Meng&lt;/author&gt;&lt;author&gt;Rachid Rafia&lt;/author&gt;&lt;author&gt;Rachel Jackson&lt;/author&gt;&lt;author&gt;Petra Meier&lt;/author&gt;&lt;/authors&gt;&lt;/contributors&gt;&lt;titles&gt;&lt;title&gt;Modelling to assess the effectiveness and cost-effectiveness of public health related strategies and interventions to reduce alcohol attributable harm in England using the Sheffield Alcohol Policy Model version 2.0&lt;/title&gt;&lt;/titles&gt;&lt;dates&gt;&lt;year&gt;2009&lt;/year&gt;&lt;/dates&gt;&lt;pub-location&gt;Sheffield&lt;/pub-location&gt;&lt;publisher&gt;Report to the NICE Public Health Programme Development Group&lt;/publisher&gt;&lt;urls&gt;&lt;/urls&gt;&lt;/record&gt;&lt;/Cite&gt;&lt;/EndNote&gt;</w:instrText>
      </w:r>
      <w:r w:rsidR="002B15F0">
        <w:fldChar w:fldCharType="separate"/>
      </w:r>
      <w:r w:rsidR="00DF7C6A">
        <w:rPr>
          <w:noProof/>
        </w:rPr>
        <w:t>(Purshouse et al., 2009, p112)</w:t>
      </w:r>
      <w:r w:rsidR="002B15F0">
        <w:fldChar w:fldCharType="end"/>
      </w:r>
      <w:r>
        <w:t xml:space="preserve">, </w:t>
      </w:r>
      <w:r w:rsidR="00362A8A">
        <w:t>while ignoring</w:t>
      </w:r>
      <w:r>
        <w:t xml:space="preserve"> positive wellbeing impacts</w:t>
      </w:r>
      <w:r w:rsidR="00B07D80">
        <w:t xml:space="preserve">. </w:t>
      </w:r>
    </w:p>
    <w:p w14:paraId="4D7DB052" w14:textId="70F7D9F6" w:rsidR="00B07D80" w:rsidRDefault="0036714E" w:rsidP="00504FE6">
      <w:r>
        <w:t xml:space="preserve">A new direction </w:t>
      </w:r>
      <w:r w:rsidR="00A03B98">
        <w:t xml:space="preserve">is </w:t>
      </w:r>
      <w:r>
        <w:t>necessary to contribute to evidence-informed policy.  T</w:t>
      </w:r>
      <w:r w:rsidR="00B07D80">
        <w:t xml:space="preserve">his paper </w:t>
      </w:r>
      <w:r>
        <w:t xml:space="preserve">therefore </w:t>
      </w:r>
      <w:r w:rsidR="00881FBC">
        <w:t>outlin</w:t>
      </w:r>
      <w:r w:rsidR="00E65B66">
        <w:t>es</w:t>
      </w:r>
      <w:r w:rsidR="00881FBC">
        <w:t xml:space="preserve"> </w:t>
      </w:r>
      <w:r w:rsidR="00B07D80">
        <w:t>an alternative ‘empirical wellbeing’ approach</w:t>
      </w:r>
      <w:r w:rsidR="00E65B66">
        <w:t xml:space="preserve"> </w:t>
      </w:r>
      <w:r w:rsidR="00D86179">
        <w:t>to</w:t>
      </w:r>
      <w:r w:rsidR="00E65B66">
        <w:t xml:space="preserve"> looking at the link between alcohol and wellbeing</w:t>
      </w:r>
      <w:r w:rsidR="00B07D80">
        <w:t xml:space="preserve">, </w:t>
      </w:r>
      <w:r w:rsidR="00881FBC">
        <w:lastRenderedPageBreak/>
        <w:t xml:space="preserve">and </w:t>
      </w:r>
      <w:r>
        <w:t xml:space="preserve">presents the results of the approach </w:t>
      </w:r>
      <w:r w:rsidR="00D86179">
        <w:t>applied to</w:t>
      </w:r>
      <w:r>
        <w:t xml:space="preserve"> a nationally representative cohort study </w:t>
      </w:r>
      <w:r w:rsidR="00A03B98">
        <w:t xml:space="preserve">(Study 1) </w:t>
      </w:r>
      <w:r>
        <w:t xml:space="preserve">and </w:t>
      </w:r>
      <w:r w:rsidR="00D86179">
        <w:t>a</w:t>
      </w:r>
      <w:r>
        <w:t>n innovative smartphone-based data</w:t>
      </w:r>
      <w:r w:rsidR="00D86179">
        <w:t xml:space="preserve"> set</w:t>
      </w:r>
      <w:r w:rsidR="00A03B98">
        <w:t xml:space="preserve"> (Study 2)</w:t>
      </w:r>
      <w:r w:rsidR="00673BFD">
        <w:t xml:space="preserve">.  </w:t>
      </w:r>
    </w:p>
    <w:p w14:paraId="08065A7A" w14:textId="77F35BC0" w:rsidR="000D25E5" w:rsidRDefault="000D25E5" w:rsidP="000D25E5">
      <w:pPr>
        <w:pStyle w:val="Heading2"/>
      </w:pPr>
      <w:r>
        <w:t>Methods for estimating wellbeing impacts</w:t>
      </w:r>
    </w:p>
    <w:p w14:paraId="622AF85C" w14:textId="77777777" w:rsidR="00B07D80" w:rsidRDefault="00B07D80" w:rsidP="00504FE6">
      <w:pPr>
        <w:pStyle w:val="Heading3"/>
      </w:pPr>
      <w:r>
        <w:t>Consumer surplus method</w:t>
      </w:r>
    </w:p>
    <w:p w14:paraId="2586D962" w14:textId="37D78438" w:rsidR="00B07D80" w:rsidRDefault="00B07D80" w:rsidP="00504FE6">
      <w:r>
        <w:t xml:space="preserve">To the extent that previous studies have estimated </w:t>
      </w:r>
      <w:r w:rsidR="0036714E">
        <w:t xml:space="preserve">anything beyond purely negative </w:t>
      </w:r>
      <w:r>
        <w:t>wellbeing impact</w:t>
      </w:r>
      <w:r w:rsidR="0036714E">
        <w:t>s</w:t>
      </w:r>
      <w:r>
        <w:t xml:space="preserve"> of alcohol, they have used </w:t>
      </w:r>
      <w:r w:rsidR="00AF6965">
        <w:t xml:space="preserve">a naïve version </w:t>
      </w:r>
      <w:r>
        <w:t xml:space="preserve">of ‘consumer surplus’ </w:t>
      </w:r>
      <w:r w:rsidR="002B15F0">
        <w:fldChar w:fldCharType="begin"/>
      </w:r>
      <w:r w:rsidR="00DF7C6A">
        <w:instrText xml:space="preserve"> ADDIN EN.CITE &lt;EndNote&gt;&lt;Cite&gt;&lt;Author&gt;Aslam&lt;/Author&gt;&lt;Year&gt;2003&lt;/Year&gt;&lt;RecNum&gt;44&lt;/RecNum&gt;&lt;DisplayText&gt;(Aslam et al., 2003; cebr, 2009)&lt;/DisplayText&gt;&lt;record&gt;&lt;rec-number&gt;44&lt;/rec-number&gt;&lt;foreign-keys&gt;&lt;key app="EN" db-id="sttprxrp6925duet9e6pf2zo2drwvda5wf02" timestamp="0"&gt;44&lt;/key&gt;&lt;/foreign-keys&gt;&lt;ref-type name="Web Page"&gt;12&lt;/ref-type&gt;&lt;contributors&gt;&lt;authors&gt;&lt;author&gt;Aslam, S.&lt;/author&gt;&lt;author&gt;Barham, L.&lt;/author&gt;&lt;author&gt;Bramley-Harker, E.&lt;/author&gt;&lt;author&gt;Dodgson, J.&lt;/author&gt;&lt;author&gt;Spackman, M.&lt;/author&gt;&lt;/authors&gt;&lt;/contributors&gt;&lt;titles&gt;&lt;title&gt;Alcohol in London: a cost-benefit analysis&lt;/title&gt;&lt;/titles&gt;&lt;volume&gt;Archived by WebCite® at http://www.webcitation.org/6X4NS2DvP&lt;/volume&gt;&lt;keywords&gt;&lt;keyword&gt;social cost&lt;/keyword&gt;&lt;keyword&gt;UK&lt;/keyword&gt;&lt;/keywords&gt;&lt;dates&gt;&lt;year&gt;2003&lt;/year&gt;&lt;/dates&gt;&lt;pub-location&gt;London, UK&lt;/pub-location&gt;&lt;publisher&gt;A Final Report for the Greater London Authority Prepared by NERA&lt;/publisher&gt;&lt;accession-num&gt;6375&lt;/accession-num&gt;&lt;urls&gt;&lt;related-urls&gt;&lt;url&gt;http://www.london.gov.uk/mayor/health/drugs_and_alcohol/docs/cost_benefit_alcohol.pdf   &lt;/url&gt;&lt;/related-urls&gt;&lt;/urls&gt;&lt;/record&gt;&lt;/Cite&gt;&lt;Cite&gt;&lt;Author&gt;cebr&lt;/Author&gt;&lt;Year&gt;2009&lt;/Year&gt;&lt;RecNum&gt;2001&lt;/RecNum&gt;&lt;record&gt;&lt;rec-number&gt;2001&lt;/rec-number&gt;&lt;foreign-keys&gt;&lt;key app="EN" db-id="sttprxrp6925duet9e6pf2zo2drwvda5wf02" timestamp="0"&gt;2001&lt;/key&gt;&lt;/foreign-keys&gt;&lt;ref-type name="Web Page"&gt;12&lt;/ref-type&gt;&lt;contributors&gt;&lt;authors&gt;&lt;author&gt;cebr&lt;/author&gt;&lt;/authors&gt;&lt;/contributors&gt;&lt;titles&gt;&lt;title&gt;Minimum Alcohol Pricing: a targeted measure?&lt;/title&gt;&lt;/titles&gt;&lt;volume&gt;Archived by WebCite® at http://www.webcitation.org/6XIZxIHHr&lt;/volume&gt;&lt;dates&gt;&lt;year&gt;2009&lt;/year&gt;&lt;/dates&gt;&lt;pub-location&gt;London&lt;/pub-location&gt;&lt;publisher&gt;centre for economics and business research ltd for SAB Miller plc&lt;/publisher&gt;&lt;urls&gt;&lt;/urls&gt;&lt;/record&gt;&lt;/Cite&gt;&lt;/EndNote&gt;</w:instrText>
      </w:r>
      <w:r w:rsidR="002B15F0">
        <w:fldChar w:fldCharType="separate"/>
      </w:r>
      <w:r w:rsidR="00DF7C6A">
        <w:rPr>
          <w:noProof/>
        </w:rPr>
        <w:t>(Aslam et al., 2003; cebr, 2009)</w:t>
      </w:r>
      <w:r w:rsidR="002B15F0">
        <w:fldChar w:fldCharType="end"/>
      </w:r>
      <w:r>
        <w:t>.  This starts from the assumption that consumers receive benefits to their individual welfare – ‘utility’ – from drinking that are at least as large as the money they spend.  Crucially, they also receive a ‘surplus’ of utility beyond what they pay</w:t>
      </w:r>
      <w:r w:rsidR="000D25E5">
        <w:t xml:space="preserve"> – i.e. </w:t>
      </w:r>
      <w:r>
        <w:t xml:space="preserve">the money that they would have </w:t>
      </w:r>
      <w:r w:rsidR="00D86179">
        <w:t xml:space="preserve">been willing to pay </w:t>
      </w:r>
      <w:r>
        <w:t>for that drink if the price was raised</w:t>
      </w:r>
      <w:r w:rsidR="005A29CC">
        <w:t xml:space="preserve"> – which </w:t>
      </w:r>
      <w:r>
        <w:t xml:space="preserve">has been argued to be a measure of the ‘pleasure of drinking’ </w:t>
      </w:r>
      <w:r w:rsidR="002B15F0">
        <w:fldChar w:fldCharType="begin"/>
      </w:r>
      <w:r w:rsidR="003C175C">
        <w:instrText xml:space="preserve"> ADDIN EN.CITE &lt;EndNote&gt;&lt;Cite&gt;&lt;Author&gt;Aslam&lt;/Author&gt;&lt;Year&gt;2003&lt;/Year&gt;&lt;RecNum&gt;44&lt;/RecNum&gt;&lt;Suffix&gt;:35&lt;/Suffix&gt;&lt;DisplayText&gt;(Aslam et al., 2003:35)&lt;/DisplayText&gt;&lt;record&gt;&lt;rec-number&gt;44&lt;/rec-number&gt;&lt;foreign-keys&gt;&lt;key app="EN" db-id="sttprxrp6925duet9e6pf2zo2drwvda5wf02" timestamp="0"&gt;44&lt;/key&gt;&lt;/foreign-keys&gt;&lt;ref-type name="Web Page"&gt;12&lt;/ref-type&gt;&lt;contributors&gt;&lt;authors&gt;&lt;author&gt;Aslam, S.&lt;/author&gt;&lt;author&gt;Barham, L.&lt;/author&gt;&lt;author&gt;Bramley-Harker, E.&lt;/author&gt;&lt;author&gt;Dodgson, J.&lt;/author&gt;&lt;author&gt;Spackman, M.&lt;/author&gt;&lt;/authors&gt;&lt;/contributors&gt;&lt;titles&gt;&lt;title&gt;Alcohol in London: a cost-benefit analysis&lt;/title&gt;&lt;/titles&gt;&lt;volume&gt;Archived by WebCite® at http://www.webcitation.org/6X4NS2DvP&lt;/volume&gt;&lt;keywords&gt;&lt;keyword&gt;social cost&lt;/keyword&gt;&lt;keyword&gt;UK&lt;/keyword&gt;&lt;/keywords&gt;&lt;dates&gt;&lt;year&gt;2003&lt;/year&gt;&lt;/dates&gt;&lt;pub-location&gt;London, UK&lt;/pub-location&gt;&lt;publisher&gt;A Final Report for the Greater London Authority Prepared by NERA&lt;/publisher&gt;&lt;accession-num&gt;6375&lt;/accession-num&gt;&lt;urls&gt;&lt;related-urls&gt;&lt;url&gt;http://www.london.gov.uk/mayor/health/drugs_and_alcohol/docs/cost_benefit_alcohol.pdf   &lt;/url&gt;&lt;/related-urls&gt;&lt;/urls&gt;&lt;/record&gt;&lt;/Cite&gt;&lt;/EndNote&gt;</w:instrText>
      </w:r>
      <w:r w:rsidR="002B15F0">
        <w:fldChar w:fldCharType="separate"/>
      </w:r>
      <w:r w:rsidR="003C175C">
        <w:rPr>
          <w:noProof/>
        </w:rPr>
        <w:t>(Aslam et al., 2003:35)</w:t>
      </w:r>
      <w:r w:rsidR="002B15F0">
        <w:fldChar w:fldCharType="end"/>
      </w:r>
      <w:r>
        <w:t>.</w:t>
      </w:r>
    </w:p>
    <w:p w14:paraId="414E5706" w14:textId="245945F8" w:rsidR="00B07D80" w:rsidRDefault="00B07D80" w:rsidP="00504FE6">
      <w:r>
        <w:t xml:space="preserve">The implication is that </w:t>
      </w:r>
      <w:r w:rsidR="001811DB">
        <w:t>involuntary (</w:t>
      </w:r>
      <w:r>
        <w:t>polic</w:t>
      </w:r>
      <w:r w:rsidR="00362A8A">
        <w:t>y-induced)</w:t>
      </w:r>
      <w:r>
        <w:t xml:space="preserve"> reduc</w:t>
      </w:r>
      <w:r w:rsidR="001811DB">
        <w:t>tions in</w:t>
      </w:r>
      <w:r>
        <w:t xml:space="preserve"> alcohol consumption will reduce wellbeing</w:t>
      </w:r>
      <w:r w:rsidR="000D25E5">
        <w:t>, in two ways</w:t>
      </w:r>
      <w:r>
        <w:t>:</w:t>
      </w:r>
    </w:p>
    <w:p w14:paraId="756D5386" w14:textId="48951895" w:rsidR="00B07D80" w:rsidRDefault="00B07D80" w:rsidP="00504FE6">
      <w:pPr>
        <w:numPr>
          <w:ilvl w:val="0"/>
          <w:numId w:val="4"/>
        </w:numPr>
      </w:pPr>
      <w:r w:rsidRPr="009433CC">
        <w:rPr>
          <w:i/>
        </w:rPr>
        <w:t>Extra spending</w:t>
      </w:r>
      <w:r>
        <w:t>: people pay a higher price</w:t>
      </w:r>
      <w:r w:rsidR="000D25E5">
        <w:t xml:space="preserve"> </w:t>
      </w:r>
      <w:r>
        <w:t>for the drinks that they continue to consume, so the surplus beyond the price they pay will be reduced.</w:t>
      </w:r>
    </w:p>
    <w:p w14:paraId="7E2A2D6B" w14:textId="4D1D4811" w:rsidR="00B07D80" w:rsidRDefault="00B07D80" w:rsidP="00504FE6">
      <w:pPr>
        <w:numPr>
          <w:ilvl w:val="0"/>
          <w:numId w:val="4"/>
        </w:numPr>
      </w:pPr>
      <w:r w:rsidRPr="009433CC">
        <w:rPr>
          <w:i/>
        </w:rPr>
        <w:t>Reduced drinking</w:t>
      </w:r>
      <w:r>
        <w:t xml:space="preserve">: people will stop consuming some drinks, for which they previously received a utility surplus.  </w:t>
      </w:r>
    </w:p>
    <w:p w14:paraId="331D57E2" w14:textId="10C2DFB4" w:rsidR="00B07D80" w:rsidRDefault="00B07D80" w:rsidP="00504FE6">
      <w:r>
        <w:t xml:space="preserve">Using this logic, the economic consultants NERA in a report for the Greater London Authority estimated that the pleasure of drinking was worth over £2bn in London </w:t>
      </w:r>
      <w:r w:rsidR="00F00522">
        <w:fldChar w:fldCharType="begin"/>
      </w:r>
      <w:r w:rsidR="00DF7C6A">
        <w:instrText xml:space="preserve"> ADDIN EN.CITE &lt;EndNote&gt;&lt;Cite&gt;&lt;Author&gt;Aslam&lt;/Author&gt;&lt;Year&gt;2003&lt;/Year&gt;&lt;RecNum&gt;44&lt;/RecNum&gt;&lt;DisplayText&gt;(Aslam et al., 2003)&lt;/DisplayText&gt;&lt;record&gt;&lt;rec-number&gt;44&lt;/rec-number&gt;&lt;foreign-keys&gt;&lt;key app="EN" db-id="sttprxrp6925duet9e6pf2zo2drwvda5wf02" timestamp="0"&gt;44&lt;/key&gt;&lt;/foreign-keys&gt;&lt;ref-type name="Web Page"&gt;12&lt;/ref-type&gt;&lt;contributors&gt;&lt;authors&gt;&lt;author&gt;Aslam, S.&lt;/author&gt;&lt;author&gt;Barham, L.&lt;/author&gt;&lt;author&gt;Bramley-Harker, E.&lt;/author&gt;&lt;author&gt;Dodgson, J.&lt;/author&gt;&lt;author&gt;Spackman, M.&lt;/author&gt;&lt;/authors&gt;&lt;/contributors&gt;&lt;titles&gt;&lt;title&gt;Alcohol in London: a cost-benefit analysis&lt;/title&gt;&lt;/titles&gt;&lt;volume&gt;Archived by WebCite® at http://www.webcitation.org/6X4NS2DvP&lt;/volume&gt;&lt;keywords&gt;&lt;keyword&gt;social cost&lt;/keyword&gt;&lt;keyword&gt;UK&lt;/keyword&gt;&lt;/keywords&gt;&lt;dates&gt;&lt;year&gt;2003&lt;/year&gt;&lt;/dates&gt;&lt;pub-location&gt;London, UK&lt;/pub-location&gt;&lt;publisher&gt;A Final Report for the Greater London Authority Prepared by NERA&lt;/publisher&gt;&lt;accession-num&gt;6375&lt;/accession-num&gt;&lt;urls&gt;&lt;related-urls&gt;&lt;url&gt;http://www.london.gov.uk/mayor/health/drugs_and_alcohol/docs/cost_benefit_alcohol.pdf   &lt;/url&gt;&lt;/related-urls&gt;&lt;/urls&gt;&lt;/record&gt;&lt;/Cite&gt;&lt;/EndNote&gt;</w:instrText>
      </w:r>
      <w:r w:rsidR="00F00522">
        <w:fldChar w:fldCharType="separate"/>
      </w:r>
      <w:r w:rsidR="00DF7C6A">
        <w:rPr>
          <w:noProof/>
        </w:rPr>
        <w:t>(Aslam et al., 2003)</w:t>
      </w:r>
      <w:r w:rsidR="00F00522">
        <w:fldChar w:fldCharType="end"/>
      </w:r>
      <w:r>
        <w:t xml:space="preserve">, while the economic consultants </w:t>
      </w:r>
      <w:proofErr w:type="spellStart"/>
      <w:r>
        <w:t>cebr</w:t>
      </w:r>
      <w:proofErr w:type="spellEnd"/>
      <w:r>
        <w:t xml:space="preserve"> in a report for SAB Miller estimated that a 5% reduction in the consumption of moderate drinkers in the UK would cost £600m/pa</w:t>
      </w:r>
      <w:r w:rsidR="002B15F0">
        <w:t xml:space="preserve"> </w:t>
      </w:r>
      <w:r w:rsidR="00F00522">
        <w:fldChar w:fldCharType="begin"/>
      </w:r>
      <w:r w:rsidR="00DF7C6A">
        <w:instrText xml:space="preserve"> ADDIN EN.CITE &lt;EndNote&gt;&lt;Cite&gt;&lt;Author&gt;cebr&lt;/Author&gt;&lt;Year&gt;2009&lt;/Year&gt;&lt;RecNum&gt;2001&lt;/RecNum&gt;&lt;DisplayText&gt;(cebr, 2009)&lt;/DisplayText&gt;&lt;record&gt;&lt;rec-number&gt;2001&lt;/rec-number&gt;&lt;foreign-keys&gt;&lt;key app="EN" db-id="sttprxrp6925duet9e6pf2zo2drwvda5wf02" timestamp="0"&gt;2001&lt;/key&gt;&lt;/foreign-keys&gt;&lt;ref-type name="Web Page"&gt;12&lt;/ref-type&gt;&lt;contributors&gt;&lt;authors&gt;&lt;author&gt;cebr&lt;/author&gt;&lt;/authors&gt;&lt;/contributors&gt;&lt;titles&gt;&lt;title&gt;Minimum Alcohol Pricing: a targeted measure?&lt;/title&gt;&lt;/titles&gt;&lt;volume&gt;Archived by WebCite® at http://www.webcitation.org/6XIZxIHHr&lt;/volume&gt;&lt;dates&gt;&lt;year&gt;2009&lt;/year&gt;&lt;/dates&gt;&lt;pub-location&gt;London&lt;/pub-location&gt;&lt;publisher&gt;centre for economics and business research ltd for SAB Miller plc&lt;/publisher&gt;&lt;urls&gt;&lt;/urls&gt;&lt;/record&gt;&lt;/Cite&gt;&lt;/EndNote&gt;</w:instrText>
      </w:r>
      <w:r w:rsidR="00F00522">
        <w:fldChar w:fldCharType="separate"/>
      </w:r>
      <w:r w:rsidR="00DF7C6A">
        <w:rPr>
          <w:noProof/>
        </w:rPr>
        <w:t>(cebr, 2009)</w:t>
      </w:r>
      <w:r w:rsidR="00F00522">
        <w:fldChar w:fldCharType="end"/>
      </w:r>
      <w:r>
        <w:t xml:space="preserve">.  </w:t>
      </w:r>
    </w:p>
    <w:p w14:paraId="07C1563E" w14:textId="575D72C9" w:rsidR="00B07D80" w:rsidRDefault="00B07D80">
      <w:r>
        <w:t xml:space="preserve">However, the general assumptions on which these estimates are based – perfect rationality, perfect information and perfect foresight – </w:t>
      </w:r>
      <w:r w:rsidR="000D25E5">
        <w:t xml:space="preserve">are </w:t>
      </w:r>
      <w:r w:rsidR="003C175C">
        <w:t xml:space="preserve">naïve </w:t>
      </w:r>
      <w:r w:rsidR="00D50145">
        <w:t xml:space="preserve">compared to </w:t>
      </w:r>
      <w:r w:rsidR="003C175C">
        <w:t xml:space="preserve">those made by </w:t>
      </w:r>
      <w:r w:rsidR="000D25E5">
        <w:t xml:space="preserve">contemporary welfare </w:t>
      </w:r>
      <w:r w:rsidR="000D25E5">
        <w:lastRenderedPageBreak/>
        <w:t>economists</w:t>
      </w:r>
      <w:r w:rsidR="00A03B98">
        <w:t xml:space="preserve"> </w:t>
      </w:r>
      <w:r w:rsidR="000F1C90">
        <w:t xml:space="preserve">in the light of evidence from behavioural economics </w:t>
      </w:r>
      <w:r w:rsidR="00F00522">
        <w:fldChar w:fldCharType="begin"/>
      </w:r>
      <w:r w:rsidR="00DF7C6A">
        <w:instrText xml:space="preserve"> ADDIN EN.CITE &lt;EndNote&gt;&lt;Cite&gt;&lt;Author&gt;Cawley&lt;/Author&gt;&lt;Year&gt;2011&lt;/Year&gt;&lt;RecNum&gt;2154&lt;/RecNum&gt;&lt;DisplayText&gt;(Cawley &amp;amp; Ruhm, 2011)&lt;/DisplayText&gt;&lt;record&gt;&lt;rec-number&gt;2154&lt;/rec-number&gt;&lt;foreign-keys&gt;&lt;key app="EN" db-id="sttprxrp6925duet9e6pf2zo2drwvda5wf02" timestamp="1393604851"&gt;2154&lt;/key&gt;&lt;/foreign-keys&gt;&lt;ref-type name="Report"&gt;27&lt;/ref-type&gt;&lt;contributors&gt;&lt;authors&gt;&lt;author&gt;Cawley, John&lt;/author&gt;&lt;author&gt;Ruhm, Christopher&lt;/author&gt;&lt;/authors&gt;&lt;/contributors&gt;&lt;titles&gt;&lt;title&gt;The economics of risky health behaviors&lt;/title&gt;&lt;secondary-title&gt;NBER Working Paper No. 17081&lt;/secondary-title&gt;&lt;/titles&gt;&lt;dates&gt;&lt;year&gt;2011&lt;/year&gt;&lt;/dates&gt;&lt;publisher&gt;National Bureau of Economic Research&lt;/publisher&gt;&lt;urls&gt;&lt;related-urls&gt;&lt;url&gt;http://www.nber.org/papers/w17081&lt;/url&gt;&lt;/related-urls&gt;&lt;/urls&gt;&lt;/record&gt;&lt;/Cite&gt;&lt;/EndNote&gt;</w:instrText>
      </w:r>
      <w:r w:rsidR="00F00522">
        <w:fldChar w:fldCharType="separate"/>
      </w:r>
      <w:r w:rsidR="00DF7C6A">
        <w:rPr>
          <w:noProof/>
        </w:rPr>
        <w:t>(Cawley &amp; Ruhm, 2011)</w:t>
      </w:r>
      <w:r w:rsidR="00F00522">
        <w:fldChar w:fldCharType="end"/>
      </w:r>
      <w:r>
        <w:t xml:space="preserve">.  </w:t>
      </w:r>
      <w:r w:rsidR="000F1C90">
        <w:t xml:space="preserve">The assumptions </w:t>
      </w:r>
      <w:r w:rsidR="003C175C">
        <w:t xml:space="preserve">are even more challenging when applied </w:t>
      </w:r>
      <w:r w:rsidR="000F1C90">
        <w:t xml:space="preserve">to alcohol.  </w:t>
      </w:r>
      <w:r w:rsidR="000306A2">
        <w:t>W</w:t>
      </w:r>
      <w:r>
        <w:t xml:space="preserve">hile dependence </w:t>
      </w:r>
      <w:r w:rsidR="00A21208">
        <w:t>has be</w:t>
      </w:r>
      <w:r w:rsidR="000054BF">
        <w:t>en</w:t>
      </w:r>
      <w:r w:rsidR="00A21208">
        <w:t xml:space="preserve"> shown to be </w:t>
      </w:r>
      <w:r w:rsidR="00D50145">
        <w:t xml:space="preserve">potentially </w:t>
      </w:r>
      <w:r>
        <w:t xml:space="preserve">‘rational’ in the terms of Becker and Murphy’s theory, it </w:t>
      </w:r>
      <w:r w:rsidR="003C175C">
        <w:t xml:space="preserve">seems unlikely </w:t>
      </w:r>
      <w:r>
        <w:t xml:space="preserve">that addicts </w:t>
      </w:r>
      <w:r w:rsidRPr="0078455C">
        <w:t>consistently</w:t>
      </w:r>
      <w:r>
        <w:t xml:space="preserve"> make consumption decisions that maximise their own welfare</w:t>
      </w:r>
      <w:r w:rsidR="00A21208">
        <w:rPr>
          <w:noProof/>
        </w:rPr>
        <w:t xml:space="preserve"> </w:t>
      </w:r>
      <w:r w:rsidR="00F00522">
        <w:rPr>
          <w:noProof/>
        </w:rPr>
        <w:fldChar w:fldCharType="begin"/>
      </w:r>
      <w:r w:rsidR="003956CF">
        <w:rPr>
          <w:noProof/>
        </w:rPr>
        <w:instrText xml:space="preserve"> ADDIN EN.CITE &lt;EndNote&gt;&lt;Cite&gt;&lt;Author&gt;Bernheim&lt;/Author&gt;&lt;Year&gt;2004&lt;/Year&gt;&lt;RecNum&gt;2304&lt;/RecNum&gt;&lt;Prefix&gt;e.g. &lt;/Prefix&gt;&lt;DisplayText&gt;(e.g. Bernheim &amp;amp; Rangel, 2004)&lt;/DisplayText&gt;&lt;record&gt;&lt;rec-number&gt;2304&lt;/rec-number&gt;&lt;foreign-keys&gt;&lt;key app="EN" db-id="sttprxrp6925duet9e6pf2zo2drwvda5wf02" timestamp="1426155826"&gt;2304&lt;/key&gt;&lt;/foreign-keys&gt;&lt;ref-type name="Journal Article"&gt;17&lt;/ref-type&gt;&lt;contributors&gt;&lt;authors&gt;&lt;author&gt;Bernheim, B. Douglas&lt;/author&gt;&lt;author&gt;Rangel, Antonio&lt;/author&gt;&lt;/authors&gt;&lt;/contributors&gt;&lt;titles&gt;&lt;title&gt;Addiction and Cue-Triggered Decision Processes&lt;/title&gt;&lt;secondary-title&gt;American Economic Review&lt;/secondary-title&gt;&lt;/titles&gt;&lt;periodical&gt;&lt;full-title&gt;American Economic Review&lt;/full-title&gt;&lt;/periodical&gt;&lt;pages&gt;1558-1590&lt;/pages&gt;&lt;volume&gt;94&lt;/volume&gt;&lt;number&gt;5&lt;/number&gt;&lt;dates&gt;&lt;year&gt;2004&lt;/year&gt;&lt;/dates&gt;&lt;urls&gt;&lt;related-urls&gt;&lt;url&gt;http://www.aeaweb.org/articles.php?doi=10.1257/0002828043052222&lt;/url&gt;&lt;/related-urls&gt;&lt;/urls&gt;&lt;electronic-resource-num&gt;doi: 10.1257/0002828043052222&lt;/electronic-resource-num&gt;&lt;/record&gt;&lt;/Cite&gt;&lt;/EndNote&gt;</w:instrText>
      </w:r>
      <w:r w:rsidR="00F00522">
        <w:rPr>
          <w:noProof/>
        </w:rPr>
        <w:fldChar w:fldCharType="separate"/>
      </w:r>
      <w:r w:rsidR="003956CF">
        <w:rPr>
          <w:noProof/>
        </w:rPr>
        <w:t>(e.g. Bernheim &amp; Rangel, 2004)</w:t>
      </w:r>
      <w:r w:rsidR="00F00522">
        <w:rPr>
          <w:noProof/>
        </w:rPr>
        <w:fldChar w:fldCharType="end"/>
      </w:r>
      <w:r>
        <w:t xml:space="preserve">.  </w:t>
      </w:r>
      <w:r w:rsidR="00F43D0D">
        <w:t>Non-addicted d</w:t>
      </w:r>
      <w:r>
        <w:t xml:space="preserve">rinkers can </w:t>
      </w:r>
      <w:r w:rsidR="00F43D0D">
        <w:t xml:space="preserve">also </w:t>
      </w:r>
      <w:r>
        <w:t xml:space="preserve">less easily be assumed to be optimising their welfare as they become more intoxicated.  Given that the majority of all drinks in the UK are consumed beyond the Government’s recommended weekly or daily limits </w:t>
      </w:r>
      <w:r w:rsidR="00C15E87">
        <w:t>(</w:t>
      </w:r>
      <w:r w:rsidRPr="00FD36F9">
        <w:rPr>
          <w:color w:val="FF0000"/>
        </w:rPr>
        <w:t xml:space="preserve">AUTHOR </w:t>
      </w:r>
      <w:r w:rsidR="00C15E87">
        <w:rPr>
          <w:color w:val="FF0000"/>
        </w:rPr>
        <w:t>2009</w:t>
      </w:r>
      <w:r w:rsidR="00C15E87">
        <w:t>),</w:t>
      </w:r>
      <w:r>
        <w:t xml:space="preserve"> </w:t>
      </w:r>
      <w:r w:rsidR="00F43D0D">
        <w:t xml:space="preserve">policymakers’ use of naïve </w:t>
      </w:r>
      <w:r>
        <w:t xml:space="preserve">consumer surplus estimates </w:t>
      </w:r>
      <w:r w:rsidR="00D50145">
        <w:t xml:space="preserve">is </w:t>
      </w:r>
      <w:r>
        <w:t xml:space="preserve">difficult to justify.  </w:t>
      </w:r>
    </w:p>
    <w:p w14:paraId="22F89D06" w14:textId="3867999A" w:rsidR="00F81AE7" w:rsidRPr="000054BF" w:rsidRDefault="00642982">
      <w:r>
        <w:t xml:space="preserve">This does not mean that the consumer surplus approach to cost-benefit analysis is </w:t>
      </w:r>
      <w:r w:rsidRPr="000D5565">
        <w:t>fundamentally</w:t>
      </w:r>
      <w:r>
        <w:t xml:space="preserve"> invalid.  </w:t>
      </w:r>
      <w:r w:rsidR="005E3F52">
        <w:t xml:space="preserve">Modern welfare economists have produced </w:t>
      </w:r>
      <w:r>
        <w:t>extensions of the standard model to deal with imperfect information, present-biased preferences, temptation, addiction</w:t>
      </w:r>
      <w:r w:rsidR="005E3F52">
        <w:t xml:space="preserve"> </w:t>
      </w:r>
      <w:r w:rsidR="005E3F52">
        <w:rPr>
          <w:noProof/>
        </w:rPr>
        <w:fldChar w:fldCharType="begin"/>
      </w:r>
      <w:r w:rsidR="00DF7C6A">
        <w:rPr>
          <w:noProof/>
        </w:rPr>
        <w:instrText xml:space="preserve"> ADDIN EN.CITE &lt;EndNote&gt;&lt;Cite&gt;&lt;Author&gt;Bernheim&lt;/Author&gt;&lt;Year&gt;2004&lt;/Year&gt;&lt;RecNum&gt;2304&lt;/RecNum&gt;&lt;DisplayText&gt;(Bernheim &amp;amp; Rangel, 2004; Cawley &amp;amp; Ruhm, 2011)&lt;/DisplayText&gt;&lt;record&gt;&lt;rec-number&gt;2304&lt;/rec-number&gt;&lt;foreign-keys&gt;&lt;key app="EN" db-id="sttprxrp6925duet9e6pf2zo2drwvda5wf02" timestamp="1426155826"&gt;2304&lt;/key&gt;&lt;/foreign-keys&gt;&lt;ref-type name="Journal Article"&gt;17&lt;/ref-type&gt;&lt;contributors&gt;&lt;authors&gt;&lt;author&gt;Bernheim, B. Douglas&lt;/author&gt;&lt;author&gt;Rangel, Antonio&lt;/author&gt;&lt;/authors&gt;&lt;/contributors&gt;&lt;titles&gt;&lt;title&gt;Addiction and Cue-Triggered Decision Processes&lt;/title&gt;&lt;secondary-title&gt;American Economic Review&lt;/secondary-title&gt;&lt;/titles&gt;&lt;periodical&gt;&lt;full-title&gt;American Economic Review&lt;/full-title&gt;&lt;/periodical&gt;&lt;pages&gt;1558-1590&lt;/pages&gt;&lt;volume&gt;94&lt;/volume&gt;&lt;number&gt;5&lt;/number&gt;&lt;dates&gt;&lt;year&gt;2004&lt;/year&gt;&lt;/dates&gt;&lt;urls&gt;&lt;related-urls&gt;&lt;url&gt;http://www.aeaweb.org/articles.php?doi=10.1257/0002828043052222&lt;/url&gt;&lt;/related-urls&gt;&lt;/urls&gt;&lt;electronic-resource-num&gt;doi: 10.1257/0002828043052222&lt;/electronic-resource-num&gt;&lt;/record&gt;&lt;/Cite&gt;&lt;Cite&gt;&lt;Author&gt;Cawley&lt;/Author&gt;&lt;Year&gt;2011&lt;/Year&gt;&lt;RecNum&gt;2154&lt;/RecNum&gt;&lt;record&gt;&lt;rec-number&gt;2154&lt;/rec-number&gt;&lt;foreign-keys&gt;&lt;key app="EN" db-id="sttprxrp6925duet9e6pf2zo2drwvda5wf02" timestamp="1393604851"&gt;2154&lt;/key&gt;&lt;/foreign-keys&gt;&lt;ref-type name="Report"&gt;27&lt;/ref-type&gt;&lt;contributors&gt;&lt;authors&gt;&lt;author&gt;Cawley, John&lt;/author&gt;&lt;author&gt;Ruhm, Christopher&lt;/author&gt;&lt;/authors&gt;&lt;/contributors&gt;&lt;titles&gt;&lt;title&gt;The economics of risky health behaviors&lt;/title&gt;&lt;secondary-title&gt;NBER Working Paper No. 17081&lt;/secondary-title&gt;&lt;/titles&gt;&lt;dates&gt;&lt;year&gt;2011&lt;/year&gt;&lt;/dates&gt;&lt;publisher&gt;National Bureau of Economic Research&lt;/publisher&gt;&lt;urls&gt;&lt;related-urls&gt;&lt;url&gt;http://www.nber.org/papers/w17081&lt;/url&gt;&lt;/related-urls&gt;&lt;/urls&gt;&lt;/record&gt;&lt;/Cite&gt;&lt;/EndNote&gt;</w:instrText>
      </w:r>
      <w:r w:rsidR="005E3F52">
        <w:rPr>
          <w:noProof/>
        </w:rPr>
        <w:fldChar w:fldCharType="separate"/>
      </w:r>
      <w:r w:rsidR="00DF7C6A">
        <w:rPr>
          <w:noProof/>
        </w:rPr>
        <w:t>(Bernheim &amp; Rangel, 2004; Cawley &amp; Ruhm, 2011)</w:t>
      </w:r>
      <w:r w:rsidR="005E3F52">
        <w:rPr>
          <w:noProof/>
        </w:rPr>
        <w:fldChar w:fldCharType="end"/>
      </w:r>
      <w:r>
        <w:t>, and ‘suspect’ choices in general</w:t>
      </w:r>
      <w:r w:rsidR="005E3F52">
        <w:t xml:space="preserve"> </w:t>
      </w:r>
      <w:r w:rsidR="005E3F52">
        <w:fldChar w:fldCharType="begin"/>
      </w:r>
      <w:r w:rsidR="00DF7C6A">
        <w:instrText xml:space="preserve"> ADDIN EN.CITE &lt;EndNote&gt;&lt;Cite&gt;&lt;Author&gt;Bernheim&lt;/Author&gt;&lt;Year&gt;2007&lt;/Year&gt;&lt;RecNum&gt;2306&lt;/RecNum&gt;&lt;DisplayText&gt;(Bernheim &amp;amp; Rangel, 2007)&lt;/DisplayText&gt;&lt;record&gt;&lt;rec-number&gt;2306&lt;/rec-number&gt;&lt;foreign-keys&gt;&lt;key app="EN" db-id="sttprxrp6925duet9e6pf2zo2drwvda5wf02" timestamp="1426195230"&gt;2306&lt;/key&gt;&lt;/foreign-keys&gt;&lt;ref-type name="Journal Article"&gt;17&lt;/ref-type&gt;&lt;contributors&gt;&lt;authors&gt;&lt;author&gt;Bernheim, B. Douglas&lt;/author&gt;&lt;author&gt;Rangel, Antonio&lt;/author&gt;&lt;/authors&gt;&lt;/contributors&gt;&lt;titles&gt;&lt;title&gt;Toward Choice-Theoretic Foundations for Behavioral Welfare Economics&lt;/title&gt;&lt;secondary-title&gt;American Economic Review&lt;/secondary-title&gt;&lt;/titles&gt;&lt;periodical&gt;&lt;full-title&gt;American Economic Review&lt;/full-title&gt;&lt;/periodical&gt;&lt;pages&gt;464-470&lt;/pages&gt;&lt;volume&gt;97&lt;/volume&gt;&lt;number&gt;2&lt;/number&gt;&lt;dates&gt;&lt;year&gt;2007&lt;/year&gt;&lt;/dates&gt;&lt;urls&gt;&lt;related-urls&gt;&lt;url&gt;http://www.aeaweb.org/articles.php?doi=10.1257/aer.97.2.464&lt;/url&gt;&lt;/related-urls&gt;&lt;/urls&gt;&lt;electronic-resource-num&gt;doi: 10.1257/aer.97.2.464&lt;/electronic-resource-num&gt;&lt;/record&gt;&lt;/Cite&gt;&lt;/EndNote&gt;</w:instrText>
      </w:r>
      <w:r w:rsidR="005E3F52">
        <w:fldChar w:fldCharType="separate"/>
      </w:r>
      <w:r w:rsidR="00DF7C6A">
        <w:rPr>
          <w:noProof/>
        </w:rPr>
        <w:t>(Bernheim &amp; Rangel, 2007)</w:t>
      </w:r>
      <w:r w:rsidR="005E3F52">
        <w:fldChar w:fldCharType="end"/>
      </w:r>
      <w:r>
        <w:t>.</w:t>
      </w:r>
      <w:r w:rsidR="00FE7AE6">
        <w:t xml:space="preserve">  The challenge, however, is calibrating these models with reliable evidence on </w:t>
      </w:r>
      <w:r w:rsidR="00FE7AE6">
        <w:rPr>
          <w:i/>
        </w:rPr>
        <w:t xml:space="preserve">which </w:t>
      </w:r>
      <w:r w:rsidR="00FE7AE6">
        <w:t>choices are suspect.</w:t>
      </w:r>
      <w:r w:rsidR="00F43D0D">
        <w:t xml:space="preserve">  To the extent that alcohol studies have taken account of ‘suspect’ choices, they have made implausible adjustments, e.g. assuming that policies have </w:t>
      </w:r>
      <w:r w:rsidR="00F43D0D" w:rsidRPr="00F43D0D">
        <w:rPr>
          <w:i/>
        </w:rPr>
        <w:t>no</w:t>
      </w:r>
      <w:r w:rsidR="00F43D0D">
        <w:t xml:space="preserve"> wellbeing impacts on heavy drinkers whatsoever </w:t>
      </w:r>
      <w:r w:rsidR="00F43D0D">
        <w:fldChar w:fldCharType="begin"/>
      </w:r>
      <w:r w:rsidR="00F43D0D">
        <w:instrText xml:space="preserve"> ADDIN EN.CITE &lt;EndNote&gt;&lt;Cite&gt;&lt;Author&gt;cebr&lt;/Author&gt;&lt;Year&gt;2009&lt;/Year&gt;&lt;RecNum&gt;2001&lt;/RecNum&gt;&lt;Suffix&gt;`, p46&lt;/Suffix&gt;&lt;DisplayText&gt;(cebr, 2009, p46)&lt;/DisplayText&gt;&lt;record&gt;&lt;rec-number&gt;2001&lt;/rec-number&gt;&lt;foreign-keys&gt;&lt;key app="EN" db-id="sttprxrp6925duet9e6pf2zo2drwvda5wf02" timestamp="0"&gt;2001&lt;/key&gt;&lt;/foreign-keys&gt;&lt;ref-type name="Web Page"&gt;12&lt;/ref-type&gt;&lt;contributors&gt;&lt;authors&gt;&lt;author&gt;cebr&lt;/author&gt;&lt;/authors&gt;&lt;/contributors&gt;&lt;titles&gt;&lt;title&gt;Minimum Alcohol Pricing: a targeted measure?&lt;/title&gt;&lt;/titles&gt;&lt;volume&gt;Archived by WebCite® at http://www.webcitation.org/6XIZxIHHr&lt;/volume&gt;&lt;dates&gt;&lt;year&gt;2009&lt;/year&gt;&lt;/dates&gt;&lt;pub-location&gt;London&lt;/pub-location&gt;&lt;publisher&gt;centre for economics and business research ltd for SAB Miller plc&lt;/publisher&gt;&lt;urls&gt;&lt;/urls&gt;&lt;/record&gt;&lt;/Cite&gt;&lt;/EndNote&gt;</w:instrText>
      </w:r>
      <w:r w:rsidR="00F43D0D">
        <w:fldChar w:fldCharType="separate"/>
      </w:r>
      <w:r w:rsidR="00F43D0D">
        <w:rPr>
          <w:noProof/>
        </w:rPr>
        <w:t>(cebr, 2009, p46)</w:t>
      </w:r>
      <w:r w:rsidR="00F43D0D">
        <w:fldChar w:fldCharType="end"/>
      </w:r>
      <w:r w:rsidR="00F43D0D">
        <w:rPr>
          <w:noProof/>
        </w:rPr>
        <w:t xml:space="preserve">.  </w:t>
      </w:r>
      <w:r w:rsidR="00B67A0B" w:rsidRPr="00B67A0B">
        <w:rPr>
          <w:noProof/>
        </w:rPr>
        <w:t xml:space="preserve">More sophisticated revisions to the consumer surplus approach have been suggested for tobacco and gambling.  </w:t>
      </w:r>
      <w:r w:rsidR="00B67A0B">
        <w:rPr>
          <w:noProof/>
        </w:rPr>
        <w:t xml:space="preserve">The Australian Productivity Commission </w:t>
      </w:r>
      <w:r w:rsidR="00B21C78">
        <w:rPr>
          <w:noProof/>
        </w:rPr>
        <w:fldChar w:fldCharType="begin"/>
      </w:r>
      <w:r w:rsidR="0036714E">
        <w:rPr>
          <w:noProof/>
        </w:rPr>
        <w:instrText xml:space="preserve"> ADDIN EN.CITE &lt;EndNote&gt;&lt;Cite ExcludeAuth="1"&gt;&lt;Author&gt;Productivity Commission&lt;/Author&gt;&lt;Year&gt;1999&lt;/Year&gt;&lt;RecNum&gt;2032&lt;/RecNum&gt;&lt;Suffix&gt;:5.20-5.21&lt;/Suffix&gt;&lt;DisplayText&gt;(1999:5.20-5.21)&lt;/DisplayText&gt;&lt;record&gt;&lt;rec-number&gt;2032&lt;/rec-number&gt;&lt;foreign-keys&gt;&lt;key app="EN" db-id="sttprxrp6925duet9e6pf2zo2drwvda5wf02" timestamp="0"&gt;2032&lt;/key&gt;&lt;/foreign-keys&gt;&lt;ref-type name="Report"&gt;27&lt;/ref-type&gt;&lt;contributors&gt;&lt;authors&gt;&lt;author&gt;Productivity Commission,&lt;/author&gt;&lt;/authors&gt;&lt;/contributors&gt;&lt;titles&gt;&lt;title&gt;Australia&amp;apos;s Gambling Industries&lt;/title&gt;&lt;secondary-title&gt;Report No 10&lt;/secondary-title&gt;&lt;/titles&gt;&lt;dates&gt;&lt;year&gt;1999&lt;/year&gt;&lt;/dates&gt;&lt;pub-location&gt;Canberra&lt;/pub-location&gt;&lt;publisher&gt;AusInfo&lt;/publisher&gt;&lt;urls&gt;&lt;/urls&gt;&lt;/record&gt;&lt;/Cite&gt;&lt;/EndNote&gt;</w:instrText>
      </w:r>
      <w:r w:rsidR="00B21C78">
        <w:rPr>
          <w:noProof/>
        </w:rPr>
        <w:fldChar w:fldCharType="separate"/>
      </w:r>
      <w:r w:rsidR="0036714E">
        <w:rPr>
          <w:noProof/>
        </w:rPr>
        <w:t>(1999:5.20-5.21)</w:t>
      </w:r>
      <w:r w:rsidR="00B21C78">
        <w:rPr>
          <w:noProof/>
        </w:rPr>
        <w:fldChar w:fldCharType="end"/>
      </w:r>
      <w:r w:rsidR="00B67A0B">
        <w:rPr>
          <w:noProof/>
        </w:rPr>
        <w:t xml:space="preserve"> assume</w:t>
      </w:r>
      <w:r w:rsidR="00A03B98">
        <w:rPr>
          <w:noProof/>
        </w:rPr>
        <w:t>d</w:t>
      </w:r>
      <w:r w:rsidR="00B67A0B">
        <w:t xml:space="preserve"> that in the absence of addiction, </w:t>
      </w:r>
      <w:r w:rsidR="00A03B98">
        <w:t xml:space="preserve">gambling </w:t>
      </w:r>
      <w:r w:rsidR="00B67A0B">
        <w:t xml:space="preserve">addicts would behave like non-addicted regular users. While defensible for gambling, </w:t>
      </w:r>
      <w:r w:rsidR="00D50145">
        <w:t>this</w:t>
      </w:r>
      <w:r w:rsidR="00B67A0B">
        <w:t xml:space="preserve"> is still fundamentally arbitrary, and </w:t>
      </w:r>
      <w:r w:rsidR="00A03B98">
        <w:t>considers only addiction rather than intoxication</w:t>
      </w:r>
      <w:r w:rsidR="00B67A0B">
        <w:t xml:space="preserve">.  </w:t>
      </w:r>
      <w:r w:rsidR="00AF00D6">
        <w:rPr>
          <w:noProof/>
        </w:rPr>
        <w:t xml:space="preserve">A more </w:t>
      </w:r>
      <w:r w:rsidR="00F81AE7">
        <w:t xml:space="preserve">sophisticated </w:t>
      </w:r>
      <w:r w:rsidR="00F43D0D">
        <w:t xml:space="preserve">recent </w:t>
      </w:r>
      <w:r w:rsidR="00F81AE7">
        <w:t xml:space="preserve">study </w:t>
      </w:r>
      <w:r w:rsidR="00F00522">
        <w:rPr>
          <w:noProof/>
        </w:rPr>
        <w:fldChar w:fldCharType="begin"/>
      </w:r>
      <w:r w:rsidR="00DF7C6A">
        <w:rPr>
          <w:noProof/>
        </w:rPr>
        <w:instrText xml:space="preserve"> ADDIN EN.CITE &lt;EndNote&gt;&lt;Cite&gt;&lt;Author&gt;Ashley&lt;/Author&gt;&lt;Year&gt;In Press&lt;/Year&gt;&lt;RecNum&gt;2148&lt;/RecNum&gt;&lt;DisplayText&gt;(Ashley et al., In Press)&lt;/DisplayText&gt;&lt;record&gt;&lt;rec-number&gt;2148&lt;/rec-number&gt;&lt;foreign-keys&gt;&lt;key app="EN" db-id="sttprxrp6925duet9e6pf2zo2drwvda5wf02" timestamp="1393522534"&gt;2148&lt;/key&gt;&lt;/foreign-keys&gt;&lt;ref-type name="Journal Article"&gt;17&lt;/ref-type&gt;&lt;contributors&gt;&lt;authors&gt;&lt;author&gt;Ashley, Elizabeth M.&lt;/author&gt;&lt;author&gt;Nardinelli, Clark&lt;/author&gt;&lt;author&gt;Lavaty, Rosemarie A.&lt;/author&gt;&lt;/authors&gt;&lt;/contributors&gt;&lt;titles&gt;&lt;title&gt;Estimating the benefits of public health policies that reduce harmful consumption&lt;/title&gt;&lt;secondary-title&gt;Health Economics&lt;/secondary-title&gt;&lt;/titles&gt;&lt;periodical&gt;&lt;full-title&gt;Health Economics&lt;/full-title&gt;&lt;/periodical&gt;&lt;keywords&gt;&lt;keyword&gt;addiction&lt;/keyword&gt;&lt;keyword&gt;consumer welfare&lt;/keyword&gt;&lt;keyword&gt;cost-benefit analysis&lt;/keyword&gt;&lt;keyword&gt;internality&lt;/keyword&gt;&lt;keyword&gt;policy intervention&lt;/keyword&gt;&lt;keyword&gt;time inconsistency&lt;/keyword&gt;&lt;keyword&gt;D61&lt;/keyword&gt;&lt;keyword&gt;I18&lt;/keyword&gt;&lt;/keywords&gt;&lt;dates&gt;&lt;year&gt;In Press&lt;/year&gt;&lt;/dates&gt;&lt;isbn&gt;1099-1050&lt;/isbn&gt;&lt;urls&gt;&lt;related-urls&gt;&lt;url&gt;http://dx.doi.org/10.1002/hec.3040&lt;/url&gt;&lt;/related-urls&gt;&lt;/urls&gt;&lt;electronic-resource-num&gt;10.1002/hec.3040&lt;/electronic-resource-num&gt;&lt;/record&gt;&lt;/Cite&gt;&lt;/EndNote&gt;</w:instrText>
      </w:r>
      <w:r w:rsidR="00F00522">
        <w:rPr>
          <w:noProof/>
        </w:rPr>
        <w:fldChar w:fldCharType="separate"/>
      </w:r>
      <w:r w:rsidR="00DF7C6A">
        <w:rPr>
          <w:noProof/>
        </w:rPr>
        <w:t>(Ashley et al., In Press)</w:t>
      </w:r>
      <w:r w:rsidR="00F00522">
        <w:rPr>
          <w:noProof/>
        </w:rPr>
        <w:fldChar w:fldCharType="end"/>
      </w:r>
      <w:r w:rsidR="00F81AE7">
        <w:rPr>
          <w:noProof/>
        </w:rPr>
        <w:t xml:space="preserve"> </w:t>
      </w:r>
      <w:r w:rsidR="00F81AE7" w:rsidRPr="00B44738">
        <w:t>uses a series of assumptions to estimate how much people would smoke if they were non-addicted and fully took account of smoking-attributable reduced life expectancy.</w:t>
      </w:r>
      <w:r w:rsidR="00F81AE7">
        <w:t xml:space="preserve"> However, this method only presently exists for tobacco</w:t>
      </w:r>
      <w:r w:rsidR="00AF00D6">
        <w:t>, and f</w:t>
      </w:r>
      <w:r w:rsidR="00F81AE7">
        <w:t xml:space="preserve">urther work will be needed to </w:t>
      </w:r>
      <w:r w:rsidR="003C175C">
        <w:t xml:space="preserve">see if </w:t>
      </w:r>
      <w:r w:rsidR="00AF00D6">
        <w:t xml:space="preserve">it </w:t>
      </w:r>
      <w:r w:rsidR="003C175C">
        <w:t xml:space="preserve">can be convincingly applied </w:t>
      </w:r>
      <w:r w:rsidR="00F81AE7">
        <w:t>to the more complex consequences of drinking</w:t>
      </w:r>
      <w:r w:rsidR="00F81AE7" w:rsidRPr="000054BF">
        <w:t>.</w:t>
      </w:r>
    </w:p>
    <w:p w14:paraId="4FCD00B0" w14:textId="77777777" w:rsidR="00B07D80" w:rsidRDefault="00B07D80" w:rsidP="00504FE6">
      <w:pPr>
        <w:pStyle w:val="Heading3"/>
        <w:sectPr w:rsidR="00B07D80" w:rsidSect="00504FE6">
          <w:pgSz w:w="11906" w:h="16838"/>
          <w:pgMar w:top="1440" w:right="1440" w:bottom="1440" w:left="1440" w:header="708" w:footer="708" w:gutter="0"/>
          <w:cols w:space="708"/>
          <w:docGrid w:linePitch="360"/>
        </w:sectPr>
      </w:pPr>
    </w:p>
    <w:p w14:paraId="06A03A01" w14:textId="382DF0A4" w:rsidR="00B07D80" w:rsidRDefault="00EF6511" w:rsidP="00504FE6">
      <w:pPr>
        <w:pStyle w:val="Heading3"/>
      </w:pPr>
      <w:r>
        <w:lastRenderedPageBreak/>
        <w:t>Subjective wellbeing</w:t>
      </w:r>
      <w:r w:rsidR="00E95B67">
        <w:t xml:space="preserve"> </w:t>
      </w:r>
      <w:r w:rsidR="00B07D80">
        <w:t>method</w:t>
      </w:r>
    </w:p>
    <w:p w14:paraId="0AC6E513" w14:textId="51E25222" w:rsidR="004551C5" w:rsidRPr="000D5565" w:rsidRDefault="003C175C" w:rsidP="007362D9">
      <w:r>
        <w:t xml:space="preserve">The main alternative to the consumer surplus approach is the </w:t>
      </w:r>
      <w:r w:rsidR="00EF6511">
        <w:t>subjective wellbeing</w:t>
      </w:r>
      <w:r>
        <w:t xml:space="preserve"> approach, which </w:t>
      </w:r>
      <w:r w:rsidR="00AF00D6">
        <w:t>investigate</w:t>
      </w:r>
      <w:r w:rsidR="000D056F">
        <w:t>s</w:t>
      </w:r>
      <w:r w:rsidR="00AF00D6">
        <w:t xml:space="preserve"> </w:t>
      </w:r>
      <w:r w:rsidR="005770B5">
        <w:t xml:space="preserve">how far drinking </w:t>
      </w:r>
      <w:r w:rsidR="005947DC">
        <w:t>make</w:t>
      </w:r>
      <w:r w:rsidR="005770B5">
        <w:t>s</w:t>
      </w:r>
      <w:r w:rsidR="005947DC">
        <w:t xml:space="preserve"> people </w:t>
      </w:r>
      <w:r w:rsidR="005947DC" w:rsidRPr="000D5565">
        <w:rPr>
          <w:i/>
        </w:rPr>
        <w:t>describe themselves</w:t>
      </w:r>
      <w:r w:rsidR="005947DC">
        <w:t xml:space="preserve"> as </w:t>
      </w:r>
      <w:r w:rsidR="005770B5">
        <w:t>(</w:t>
      </w:r>
      <w:proofErr w:type="gramStart"/>
      <w:r w:rsidR="005770B5">
        <w:t>un)</w:t>
      </w:r>
      <w:proofErr w:type="gramEnd"/>
      <w:r w:rsidR="005947DC">
        <w:t xml:space="preserve">happier.  </w:t>
      </w:r>
      <w:r w:rsidR="00CB6D25">
        <w:t>Using people’s self-</w:t>
      </w:r>
      <w:r w:rsidR="00CB6D25">
        <w:lastRenderedPageBreak/>
        <w:t xml:space="preserve">reported wellbeing </w:t>
      </w:r>
      <w:r w:rsidR="0052477D">
        <w:t xml:space="preserve">has proved a contentious idea </w:t>
      </w:r>
      <w:r w:rsidR="00F00522">
        <w:fldChar w:fldCharType="begin"/>
      </w:r>
      <w:r w:rsidR="00DF7C6A">
        <w:instrText xml:space="preserve"> ADDIN EN.CITE &lt;EndNote&gt;&lt;Cite&gt;&lt;Author&gt;MacKerron&lt;/Author&gt;&lt;Year&gt;2012&lt;/Year&gt;&lt;RecNum&gt;2305&lt;/RecNum&gt;&lt;DisplayText&gt;(MacKerron, 2012a)&lt;/DisplayText&gt;&lt;record&gt;&lt;rec-number&gt;2305&lt;/rec-number&gt;&lt;foreign-keys&gt;&lt;key app="EN" db-id="sttprxrp6925duet9e6pf2zo2drwvda5wf02" timestamp="1426183247"&gt;2305&lt;/key&gt;&lt;/foreign-keys&gt;&lt;ref-type name="Journal Article"&gt;17&lt;/ref-type&gt;&lt;contributors&gt;&lt;authors&gt;&lt;author&gt;MacKerron, George&lt;/author&gt;&lt;/authors&gt;&lt;/contributors&gt;&lt;titles&gt;&lt;title&gt;Hapiness economics from 35 000 feet&lt;/title&gt;&lt;secondary-title&gt;Journal of Economic Surveys&lt;/secondary-title&gt;&lt;/titles&gt;&lt;periodical&gt;&lt;full-title&gt;Journal of Economic Surveys&lt;/full-title&gt;&lt;/periodical&gt;&lt;pages&gt;705–735&lt;/pages&gt;&lt;volume&gt;26&lt;/volume&gt;&lt;dates&gt;&lt;year&gt;2012&lt;/year&gt;&lt;/dates&gt;&lt;urls&gt;&lt;related-urls&gt;&lt;url&gt;http://dx.doi.org/10.1111/j.1467-6419.2010.00672.x&lt;/url&gt;&lt;/related-urls&gt;&lt;/urls&gt;&lt;/record&gt;&lt;/Cite&gt;&lt;/EndNote&gt;</w:instrText>
      </w:r>
      <w:r w:rsidR="00F00522">
        <w:fldChar w:fldCharType="separate"/>
      </w:r>
      <w:r w:rsidR="00DF7C6A">
        <w:rPr>
          <w:noProof/>
        </w:rPr>
        <w:t>(MacKerron, 2012a)</w:t>
      </w:r>
      <w:r w:rsidR="00F00522">
        <w:fldChar w:fldCharType="end"/>
      </w:r>
      <w:r w:rsidR="00AF00D6">
        <w:t xml:space="preserve">, primarily because </w:t>
      </w:r>
      <w:r w:rsidR="00CB6D25">
        <w:t xml:space="preserve">it </w:t>
      </w:r>
      <w:r w:rsidR="002130A3">
        <w:t xml:space="preserve">is </w:t>
      </w:r>
      <w:r w:rsidR="00AF00D6">
        <w:t xml:space="preserve">unlikely to be </w:t>
      </w:r>
      <w:r w:rsidR="002130A3">
        <w:t>a perfect measure of actual wellbeing</w:t>
      </w:r>
      <w:r w:rsidR="00075EEA">
        <w:t xml:space="preserve">.  </w:t>
      </w:r>
      <w:r w:rsidR="00EB387A">
        <w:t>Not only are there questions about how far we have insight into our own levels of happiness, but d</w:t>
      </w:r>
      <w:r w:rsidR="004551C5">
        <w:t>ifferent people are likely to interpret survey questions on wellbeing differently</w:t>
      </w:r>
      <w:r w:rsidR="00EB387A">
        <w:t xml:space="preserve"> and even to construct ‘happiness’ differently</w:t>
      </w:r>
      <w:r w:rsidR="004551C5">
        <w:t xml:space="preserve">, confounding attempts to </w:t>
      </w:r>
      <w:r w:rsidR="00EB387A">
        <w:t xml:space="preserve">understand </w:t>
      </w:r>
      <w:r w:rsidR="004551C5">
        <w:t xml:space="preserve">reported wellbeing </w:t>
      </w:r>
      <w:r w:rsidR="00EB387A">
        <w:t xml:space="preserve">through differences in people’s lives </w:t>
      </w:r>
      <w:r w:rsidR="00EB387A">
        <w:fldChar w:fldCharType="begin"/>
      </w:r>
      <w:r w:rsidR="00DF7C6A">
        <w:instrText xml:space="preserve"> ADDIN EN.CITE &lt;EndNote&gt;&lt;Cite&gt;&lt;Author&gt;Wilkinson&lt;/Author&gt;&lt;Year&gt;2007&lt;/Year&gt;&lt;RecNum&gt;2307&lt;/RecNum&gt;&lt;DisplayText&gt;(Wilkinson, 2007)&lt;/DisplayText&gt;&lt;record&gt;&lt;rec-number&gt;2307&lt;/rec-number&gt;&lt;foreign-keys&gt;&lt;key app="EN" db-id="sttprxrp6925duet9e6pf2zo2drwvda5wf02" timestamp="1427363060"&gt;2307&lt;/key&gt;&lt;/foreign-keys&gt;&lt;ref-type name="Report"&gt;27&lt;/ref-type&gt;&lt;contributors&gt;&lt;authors&gt;&lt;author&gt;Will Wilkinson&lt;/author&gt;&lt;/authors&gt;&lt;/contributors&gt;&lt;titles&gt;&lt;title&gt;In Pursuit of Happiness Research: Is It Reliable? What Does It Imply for Policy?&lt;/title&gt;&lt;secondary-title&gt;Policy Analysis No. 590&lt;/secondary-title&gt;&lt;/titles&gt;&lt;dates&gt;&lt;year&gt;2007&lt;/year&gt;&lt;/dates&gt;&lt;pub-location&gt;Washington, DC&lt;/pub-location&gt;&lt;publisher&gt;Cato Institute&lt;/publisher&gt;&lt;urls&gt;&lt;/urls&gt;&lt;/record&gt;&lt;/Cite&gt;&lt;/EndNote&gt;</w:instrText>
      </w:r>
      <w:r w:rsidR="00EB387A">
        <w:fldChar w:fldCharType="separate"/>
      </w:r>
      <w:r w:rsidR="00DF7C6A">
        <w:rPr>
          <w:noProof/>
        </w:rPr>
        <w:t>(Wilkinson, 2007)</w:t>
      </w:r>
      <w:r w:rsidR="00EB387A">
        <w:fldChar w:fldCharType="end"/>
      </w:r>
      <w:r w:rsidR="004551C5">
        <w:t>.</w:t>
      </w:r>
      <w:r w:rsidR="00923580">
        <w:t xml:space="preserve"> </w:t>
      </w:r>
    </w:p>
    <w:p w14:paraId="08AFD879" w14:textId="5EDAF736" w:rsidR="00C6268E" w:rsidRDefault="005770B5" w:rsidP="007362D9">
      <w:r>
        <w:t xml:space="preserve">However, </w:t>
      </w:r>
      <w:r w:rsidR="00EB387A">
        <w:t xml:space="preserve">many of these problems can be minimised </w:t>
      </w:r>
      <w:r w:rsidR="005E3F52">
        <w:t xml:space="preserve">through </w:t>
      </w:r>
      <w:r w:rsidR="00EB387A">
        <w:t>better</w:t>
      </w:r>
      <w:r w:rsidR="005E3F52">
        <w:t xml:space="preserve"> research design</w:t>
      </w:r>
      <w:r w:rsidR="00AF00D6">
        <w:t xml:space="preserve">, such as </w:t>
      </w:r>
      <w:r w:rsidR="00C6268E">
        <w:t>focus</w:t>
      </w:r>
      <w:r w:rsidR="00AF00D6">
        <w:t>ing</w:t>
      </w:r>
      <w:r w:rsidR="00C6268E">
        <w:t xml:space="preserve"> on </w:t>
      </w:r>
      <w:r w:rsidR="002130A3" w:rsidRPr="004A3B04">
        <w:rPr>
          <w:i/>
        </w:rPr>
        <w:t>changes</w:t>
      </w:r>
      <w:r w:rsidR="002130A3">
        <w:t xml:space="preserve"> within a culture</w:t>
      </w:r>
      <w:r w:rsidR="00EB387A">
        <w:t xml:space="preserve"> – </w:t>
      </w:r>
      <w:r w:rsidR="00AF00D6">
        <w:t xml:space="preserve">or even </w:t>
      </w:r>
      <w:r w:rsidR="00EB387A">
        <w:t xml:space="preserve">within </w:t>
      </w:r>
      <w:r w:rsidR="00EB387A" w:rsidRPr="000D5565">
        <w:rPr>
          <w:i/>
        </w:rPr>
        <w:t>a single individual</w:t>
      </w:r>
      <w:r w:rsidR="00EB387A">
        <w:t xml:space="preserve">, as we do below – which are likely to have greater validity </w:t>
      </w:r>
      <w:r w:rsidR="00F00522">
        <w:fldChar w:fldCharType="begin"/>
      </w:r>
      <w:r w:rsidR="00DF7C6A">
        <w:instrText xml:space="preserve"> ADDIN EN.CITE &lt;EndNote&gt;&lt;Cite&gt;&lt;Author&gt;MacKerron&lt;/Author&gt;&lt;Year&gt;2012&lt;/Year&gt;&lt;RecNum&gt;2305&lt;/RecNum&gt;&lt;DisplayText&gt;(MacKerron, 2012a)&lt;/DisplayText&gt;&lt;record&gt;&lt;rec-number&gt;2305&lt;/rec-number&gt;&lt;foreign-keys&gt;&lt;key app="EN" db-id="sttprxrp6925duet9e6pf2zo2drwvda5wf02" timestamp="1426183247"&gt;2305&lt;/key&gt;&lt;/foreign-keys&gt;&lt;ref-type name="Journal Article"&gt;17&lt;/ref-type&gt;&lt;contributors&gt;&lt;authors&gt;&lt;author&gt;MacKerron, George&lt;/author&gt;&lt;/authors&gt;&lt;/contributors&gt;&lt;titles&gt;&lt;title&gt;Hapiness economics from 35 000 feet&lt;/title&gt;&lt;secondary-title&gt;Journal of Economic Surveys&lt;/secondary-title&gt;&lt;/titles&gt;&lt;periodical&gt;&lt;full-title&gt;Journal of Economic Surveys&lt;/full-title&gt;&lt;/periodical&gt;&lt;pages&gt;705–735&lt;/pages&gt;&lt;volume&gt;26&lt;/volume&gt;&lt;dates&gt;&lt;year&gt;2012&lt;/year&gt;&lt;/dates&gt;&lt;urls&gt;&lt;related-urls&gt;&lt;url&gt;http://dx.doi.org/10.1111/j.1467-6419.2010.00672.x&lt;/url&gt;&lt;/related-urls&gt;&lt;/urls&gt;&lt;/record&gt;&lt;/Cite&gt;&lt;/EndNote&gt;</w:instrText>
      </w:r>
      <w:r w:rsidR="00F00522">
        <w:fldChar w:fldCharType="separate"/>
      </w:r>
      <w:r w:rsidR="00DF7C6A">
        <w:rPr>
          <w:noProof/>
        </w:rPr>
        <w:t>(MacKerron, 2012a)</w:t>
      </w:r>
      <w:r w:rsidR="00F00522">
        <w:fldChar w:fldCharType="end"/>
      </w:r>
      <w:r w:rsidR="002130A3">
        <w:t>.</w:t>
      </w:r>
      <w:r>
        <w:t xml:space="preserve">  </w:t>
      </w:r>
      <w:r w:rsidR="00AF00D6">
        <w:t xml:space="preserve">We believe that </w:t>
      </w:r>
      <w:r w:rsidR="00EF6511">
        <w:t>subjective wellbeing</w:t>
      </w:r>
      <w:r w:rsidR="00AF00D6">
        <w:t xml:space="preserve"> approaches are one valuable perspective on wellbeing, a view shared by bodies such as </w:t>
      </w:r>
      <w:r w:rsidR="00B07D80">
        <w:t xml:space="preserve">the UK Treasury </w:t>
      </w:r>
      <w:r w:rsidR="005E3F52">
        <w:fldChar w:fldCharType="begin"/>
      </w:r>
      <w:r w:rsidR="00DF7C6A">
        <w:instrText xml:space="preserve"> ADDIN EN.CITE &lt;EndNote&gt;&lt;Cite&gt;&lt;Author&gt;Fujiwara&lt;/Author&gt;&lt;Year&gt;2011&lt;/Year&gt;&lt;RecNum&gt;2046&lt;/RecNum&gt;&lt;DisplayText&gt;(Fujiwara &amp;amp; Campbell, 2011)&lt;/DisplayText&gt;&lt;record&gt;&lt;rec-number&gt;2046&lt;/rec-number&gt;&lt;foreign-keys&gt;&lt;key app="EN" db-id="sttprxrp6925duet9e6pf2zo2drwvda5wf02" timestamp="1370018139"&gt;2046&lt;/key&gt;&lt;/foreign-keys&gt;&lt;ref-type name="Report"&gt;27&lt;/ref-type&gt;&lt;contributors&gt;&lt;authors&gt;&lt;author&gt;Fujiwara,Daniel&lt;/author&gt;&lt;author&gt;Campbell, Ross&lt;/author&gt;&lt;/authors&gt;&lt;/contributors&gt;&lt;titles&gt;&lt;title&gt;Valuation Techniques for Social Cost-Benefit Analysis: Stated Preference, Revealed Preference and Subjective Well-Being Approaches. A Discussion of the Current Issues&lt;/title&gt;&lt;/titles&gt;&lt;dates&gt;&lt;year&gt;2011&lt;/year&gt;&lt;/dates&gt;&lt;pub-location&gt;London&lt;/pub-location&gt;&lt;publisher&gt;HM Treasury and Department for Work and Pensions&lt;/publisher&gt;&lt;urls&gt;&lt;related-urls&gt;&lt;url&gt;http://www.hm-treasury.gov.uk/d/green_book_valuationtechniques_250711.pdf&lt;/url&gt;&lt;/related-urls&gt;&lt;/urls&gt;&lt;/record&gt;&lt;/Cite&gt;&lt;/EndNote&gt;</w:instrText>
      </w:r>
      <w:r w:rsidR="005E3F52">
        <w:fldChar w:fldCharType="separate"/>
      </w:r>
      <w:r w:rsidR="00DF7C6A">
        <w:rPr>
          <w:noProof/>
        </w:rPr>
        <w:t>(Fujiwara &amp; Campbell, 2011)</w:t>
      </w:r>
      <w:r w:rsidR="005E3F52">
        <w:fldChar w:fldCharType="end"/>
      </w:r>
      <w:r w:rsidR="00AF00D6">
        <w:t xml:space="preserve">, and reflected in </w:t>
      </w:r>
      <w:r w:rsidR="00A03B98">
        <w:t xml:space="preserve">the </w:t>
      </w:r>
      <w:r w:rsidR="00AF00D6">
        <w:t>burgeoning field of ‘happiness studies’</w:t>
      </w:r>
      <w:r w:rsidR="00B07D80">
        <w:t xml:space="preserve">.  </w:t>
      </w:r>
    </w:p>
    <w:p w14:paraId="5C5D4943" w14:textId="333C1A36" w:rsidR="00C6268E" w:rsidRDefault="003A3EED" w:rsidP="00C6268E">
      <w:r>
        <w:t>W</w:t>
      </w:r>
      <w:r w:rsidR="00AF00D6">
        <w:t>ellbeing</w:t>
      </w:r>
      <w:r>
        <w:t xml:space="preserve"> </w:t>
      </w:r>
      <w:r w:rsidR="00AF00D6">
        <w:t xml:space="preserve">is </w:t>
      </w:r>
      <w:r w:rsidR="00C6268E">
        <w:t>a multidimensional construct</w:t>
      </w:r>
      <w:r>
        <w:t>, including (but not limited to) both</w:t>
      </w:r>
      <w:r w:rsidR="00C6268E">
        <w:t xml:space="preserve"> emotional wellbeing at a particular moment </w:t>
      </w:r>
      <w:r>
        <w:t>—</w:t>
      </w:r>
      <w:r w:rsidR="00C6268E">
        <w:t xml:space="preserve"> </w:t>
      </w:r>
      <w:r w:rsidR="00C6268E" w:rsidRPr="008649C6">
        <w:rPr>
          <w:i/>
        </w:rPr>
        <w:t>“the frequency and intensity of experiences of joy, fascination, anxiety, sadness, anger, and affection that make on</w:t>
      </w:r>
      <w:r w:rsidR="00AF00D6">
        <w:rPr>
          <w:i/>
        </w:rPr>
        <w:t>e’s life pleasant or unpleasant</w:t>
      </w:r>
      <w:r w:rsidR="00C6268E" w:rsidRPr="008649C6">
        <w:rPr>
          <w:i/>
        </w:rPr>
        <w:t>”</w:t>
      </w:r>
      <w:r w:rsidR="00AF00D6">
        <w:rPr>
          <w:i/>
        </w:rPr>
        <w:t xml:space="preserve"> </w:t>
      </w:r>
      <w:r w:rsidR="00AF00D6">
        <w:fldChar w:fldCharType="begin"/>
      </w:r>
      <w:r w:rsidR="00AF00D6">
        <w:instrText xml:space="preserve"> ADDIN EN.CITE &lt;EndNote&gt;&lt;Cite&gt;&lt;Author&gt;Kahneman&lt;/Author&gt;&lt;Year&gt;2010&lt;/Year&gt;&lt;RecNum&gt;2151&lt;/RecNum&gt;&lt;Suffix&gt;:16489&lt;/Suffix&gt;&lt;DisplayText&gt;(Kahneman &amp;amp; Deaton, 2010:16489)&lt;/DisplayText&gt;&lt;record&gt;&lt;rec-number&gt;2151&lt;/rec-number&gt;&lt;foreign-keys&gt;&lt;key app="EN" db-id="sttprxrp6925duet9e6pf2zo2drwvda5wf02" timestamp="1393596168"&gt;2151&lt;/key&gt;&lt;/foreign-keys&gt;&lt;ref-type name="Journal Article"&gt;17&lt;/ref-type&gt;&lt;contributors&gt;&lt;authors&gt;&lt;author&gt;Kahneman, Daniel&lt;/author&gt;&lt;author&gt;Deaton, Angus&lt;/author&gt;&lt;/authors&gt;&lt;/contributors&gt;&lt;titles&gt;&lt;title&gt;High income improves evaluation of life but not emotional well-being&lt;/title&gt;&lt;secondary-title&gt;Proceedings of the National Academy of Sciences&lt;/secondary-title&gt;&lt;/titles&gt;&lt;periodical&gt;&lt;full-title&gt;Proceedings of the National Academy of Sciences&lt;/full-title&gt;&lt;/periodical&gt;&lt;pages&gt;16489-16493&lt;/pages&gt;&lt;volume&gt;107&lt;/volume&gt;&lt;number&gt;38&lt;/number&gt;&lt;dates&gt;&lt;year&gt;2010&lt;/year&gt;&lt;pub-dates&gt;&lt;date&gt;September 21, 2010&lt;/date&gt;&lt;/pub-dates&gt;&lt;/dates&gt;&lt;urls&gt;&lt;related-urls&gt;&lt;url&gt;http://www.pnas.org/content/107/38/16489.abstract&lt;/url&gt;&lt;/related-urls&gt;&lt;/urls&gt;&lt;electronic-resource-num&gt;10.1073/pnas.1011492107&lt;/electronic-resource-num&gt;&lt;/record&gt;&lt;/Cite&gt;&lt;/EndNote&gt;</w:instrText>
      </w:r>
      <w:r w:rsidR="00AF00D6">
        <w:fldChar w:fldCharType="separate"/>
      </w:r>
      <w:r w:rsidR="00AF00D6">
        <w:rPr>
          <w:noProof/>
        </w:rPr>
        <w:t>(Kahneman &amp; Deaton, 2010:16489)</w:t>
      </w:r>
      <w:r w:rsidR="00AF00D6">
        <w:fldChar w:fldCharType="end"/>
      </w:r>
      <w:r>
        <w:t xml:space="preserve"> — and </w:t>
      </w:r>
      <w:r w:rsidR="00C6268E">
        <w:t xml:space="preserve">a person’s wider satisfaction with their life, a cognitive </w:t>
      </w:r>
      <w:r w:rsidR="00AF00D6">
        <w:t xml:space="preserve">reflection </w:t>
      </w:r>
      <w:r>
        <w:t xml:space="preserve">beyond </w:t>
      </w:r>
      <w:r w:rsidR="00C6268E">
        <w:t xml:space="preserve">individual moments.  </w:t>
      </w:r>
      <w:r w:rsidR="00A03B98">
        <w:t>I</w:t>
      </w:r>
      <w:r w:rsidR="00C6268E">
        <w:t>t cannot be assumed that any cause has identical impacts on each conception of wellbeing</w:t>
      </w:r>
      <w:r w:rsidR="009A5FE0">
        <w:t xml:space="preserve"> </w:t>
      </w:r>
      <w:r w:rsidR="00F00522">
        <w:fldChar w:fldCharType="begin"/>
      </w:r>
      <w:r w:rsidR="00DF7C6A">
        <w:instrText xml:space="preserve"> ADDIN EN.CITE &lt;EndNote&gt;&lt;Cite&gt;&lt;Author&gt;Kahneman&lt;/Author&gt;&lt;Year&gt;2010&lt;/Year&gt;&lt;RecNum&gt;2151&lt;/RecNum&gt;&lt;DisplayText&gt;(Kahneman &amp;amp; Deaton, 2010)&lt;/DisplayText&gt;&lt;record&gt;&lt;rec-number&gt;2151&lt;/rec-number&gt;&lt;foreign-keys&gt;&lt;key app="EN" db-id="sttprxrp6925duet9e6pf2zo2drwvda5wf02" timestamp="1393596168"&gt;2151&lt;/key&gt;&lt;/foreign-keys&gt;&lt;ref-type name="Journal Article"&gt;17&lt;/ref-type&gt;&lt;contributors&gt;&lt;authors&gt;&lt;author&gt;Kahneman, Daniel&lt;/author&gt;&lt;author&gt;Deaton, Angus&lt;/author&gt;&lt;/authors&gt;&lt;/contributors&gt;&lt;titles&gt;&lt;title&gt;High income improves evaluation of life but not emotional well-being&lt;/title&gt;&lt;secondary-title&gt;Proceedings of the National Academy of Sciences&lt;/secondary-title&gt;&lt;/titles&gt;&lt;periodical&gt;&lt;full-title&gt;Proceedings of the National Academy of Sciences&lt;/full-title&gt;&lt;/periodical&gt;&lt;pages&gt;16489-16493&lt;/pages&gt;&lt;volume&gt;107&lt;/volume&gt;&lt;number&gt;38&lt;/number&gt;&lt;dates&gt;&lt;year&gt;2010&lt;/year&gt;&lt;pub-dates&gt;&lt;date&gt;September 21, 2010&lt;/date&gt;&lt;/pub-dates&gt;&lt;/dates&gt;&lt;urls&gt;&lt;related-urls&gt;&lt;url&gt;http://www.pnas.org/content/107/38/16489.abstract&lt;/url&gt;&lt;/related-urls&gt;&lt;/urls&gt;&lt;electronic-resource-num&gt;10.1073/pnas.1011492107&lt;/electronic-resource-num&gt;&lt;/record&gt;&lt;/Cite&gt;&lt;/EndNote&gt;</w:instrText>
      </w:r>
      <w:r w:rsidR="00F00522">
        <w:fldChar w:fldCharType="separate"/>
      </w:r>
      <w:r w:rsidR="00DF7C6A">
        <w:rPr>
          <w:noProof/>
        </w:rPr>
        <w:t>(Kahneman &amp; Deaton, 2010)</w:t>
      </w:r>
      <w:r w:rsidR="00F00522">
        <w:fldChar w:fldCharType="end"/>
      </w:r>
      <w:r w:rsidR="00C6268E">
        <w:t xml:space="preserve">.  </w:t>
      </w:r>
    </w:p>
    <w:p w14:paraId="01D063B7" w14:textId="3709639C" w:rsidR="00C6268E" w:rsidRDefault="00C6268E" w:rsidP="00C6268E">
      <w:r>
        <w:t xml:space="preserve">This may be particularly true for alcohol because short-term pleasures </w:t>
      </w:r>
      <w:r w:rsidR="005526F9">
        <w:t xml:space="preserve">and pains </w:t>
      </w:r>
      <w:r>
        <w:t xml:space="preserve">may overspill beyond the moment of drinking.  </w:t>
      </w:r>
      <w:r w:rsidR="000306A2">
        <w:t>T</w:t>
      </w:r>
      <w:r>
        <w:t xml:space="preserve">here are </w:t>
      </w:r>
      <w:r w:rsidR="000306A2">
        <w:t xml:space="preserve">negative </w:t>
      </w:r>
      <w:r>
        <w:t xml:space="preserve">short-term overspills via hangovers, and overspills on multiple timescales via health/social harms.  </w:t>
      </w:r>
      <w:r w:rsidR="001811DB">
        <w:t>More positively</w:t>
      </w:r>
      <w:r>
        <w:t>, it is often suggested tha</w:t>
      </w:r>
      <w:r w:rsidR="005709EF">
        <w:t>t alcohol improves sociability</w:t>
      </w:r>
      <w:r>
        <w:t xml:space="preserve">, </w:t>
      </w:r>
      <w:r w:rsidRPr="00076FDD">
        <w:t>with real-world interactions reported to be more agreeable with alcohol</w:t>
      </w:r>
      <w:r w:rsidR="009A5FE0">
        <w:t xml:space="preserve"> </w:t>
      </w:r>
      <w:r w:rsidR="00F00522">
        <w:fldChar w:fldCharType="begin"/>
      </w:r>
      <w:r w:rsidR="00DF7C6A">
        <w:instrText xml:space="preserve"> ADDIN EN.CITE &lt;EndNote&gt;&lt;Cite&gt;&lt;Author&gt;aan het Rot&lt;/Author&gt;&lt;Year&gt;2008&lt;/Year&gt;&lt;RecNum&gt;2221&lt;/RecNum&gt;&lt;DisplayText&gt;(aan het Rot et al., 2008)&lt;/DisplayText&gt;&lt;record&gt;&lt;rec-number&gt;2221&lt;/rec-number&gt;&lt;foreign-keys&gt;&lt;key app="EN" db-id="sttprxrp6925duet9e6pf2zo2drwvda5wf02" timestamp="1406381393"&gt;2221&lt;/key&gt;&lt;/foreign-keys&gt;&lt;ref-type name="Journal Article"&gt;17&lt;/ref-type&gt;&lt;contributors&gt;&lt;authors&gt;&lt;author&gt;aan het Rot, Marije&lt;/author&gt;&lt;author&gt;Russell, Jennifer J.&lt;/author&gt;&lt;author&gt;Moskowitz, Debbie S.&lt;/author&gt;&lt;author&gt;Young, Simon N.&lt;/author&gt;&lt;/authors&gt;&lt;/contributors&gt;&lt;titles&gt;&lt;title&gt;Alcohol in a Social Context: Findings From Event-Contingent Recording Studies of Everyday Social Interactions&lt;/title&gt;&lt;secondary-title&gt;Alcoholism: Clinical and Experimental Research&lt;/secondary-title&gt;&lt;/titles&gt;&lt;periodical&gt;&lt;full-title&gt;Alcoholism: Clinical and Experimental Research&lt;/full-title&gt;&lt;/periodical&gt;&lt;pages&gt;459-471&lt;/pages&gt;&lt;volume&gt;32&lt;/volume&gt;&lt;number&gt;3&lt;/number&gt;&lt;keywords&gt;&lt;keyword&gt;Alcohol&lt;/keyword&gt;&lt;keyword&gt;Aggression&lt;/keyword&gt;&lt;keyword&gt;Event-Contingent Recording&lt;/keyword&gt;&lt;keyword&gt;Mood&lt;/keyword&gt;&lt;keyword&gt;Perceptions of Others&lt;/keyword&gt;&lt;keyword&gt;Social Behavior&lt;/keyword&gt;&lt;/keywords&gt;&lt;dates&gt;&lt;year&gt;2008&lt;/year&gt;&lt;/dates&gt;&lt;publisher&gt;Blackwell Publishing Ltd&lt;/publisher&gt;&lt;isbn&gt;1530-0277&lt;/isbn&gt;&lt;urls&gt;&lt;related-urls&gt;&lt;url&gt;http://dx.doi.org/10.1111/j.1530-0277.2007.00590.x&lt;/url&gt;&lt;/related-urls&gt;&lt;/urls&gt;&lt;electronic-resource-num&gt;10.1111/j.1530-0277.2007.00590.x&lt;/electronic-resource-num&gt;&lt;/record&gt;&lt;/Cite&gt;&lt;/EndNote&gt;</w:instrText>
      </w:r>
      <w:r w:rsidR="00F00522">
        <w:fldChar w:fldCharType="separate"/>
      </w:r>
      <w:r w:rsidR="00DF7C6A">
        <w:rPr>
          <w:noProof/>
        </w:rPr>
        <w:t>(aan het Rot et al., 2008)</w:t>
      </w:r>
      <w:r w:rsidR="00F00522">
        <w:fldChar w:fldCharType="end"/>
      </w:r>
      <w:r w:rsidRPr="00076FDD">
        <w:t xml:space="preserve">, </w:t>
      </w:r>
      <w:r>
        <w:t>laboratory studies showing a reduction in social anxiety</w:t>
      </w:r>
      <w:r w:rsidR="009A5FE0">
        <w:t xml:space="preserve"> </w:t>
      </w:r>
      <w:r w:rsidR="00F00522">
        <w:fldChar w:fldCharType="begin"/>
      </w:r>
      <w:r w:rsidR="00DF7C6A">
        <w:instrText xml:space="preserve"> ADDIN EN.CITE &lt;EndNote&gt;&lt;Cite&gt;&lt;Author&gt;Battista&lt;/Author&gt;&lt;Year&gt;2010&lt;/Year&gt;&lt;RecNum&gt;2223&lt;/RecNum&gt;&lt;DisplayText&gt;(Battista et al., 2010)&lt;/DisplayText&gt;&lt;record&gt;&lt;rec-number&gt;2223&lt;/rec-number&gt;&lt;foreign-keys&gt;&lt;key app="EN" db-id="sttprxrp6925duet9e6pf2zo2drwvda5wf02" timestamp="1406383076"&gt;2223&lt;/key&gt;&lt;/foreign-keys&gt;&lt;ref-type name="Journal Article"&gt;17&lt;/ref-type&gt;&lt;contributors&gt;&lt;authors&gt;&lt;author&gt;Susan R. Battista&lt;/author&gt;&lt;author&gt;Sherry H. Stewart &lt;/author&gt;&lt;author&gt;Lindsay S. Ham &lt;/author&gt;&lt;/authors&gt;&lt;/contributors&gt;&lt;titles&gt;&lt;title&gt;A Critical Review of Laboratory-Based Studies Examining the Relationships of Social Anxiety and Alcohol Intake&lt;/title&gt;&lt;secondary-title&gt;Current Drug Abuse Reviews&lt;/secondary-title&gt;&lt;/titles&gt;&lt;periodical&gt;&lt;full-title&gt;Current Drug Abuse Reviews&lt;/full-title&gt;&lt;/periodical&gt;&lt;pages&gt;3-22&lt;/pages&gt;&lt;volume&gt;3&lt;/volume&gt;&lt;number&gt;1&lt;/number&gt;&lt;dates&gt;&lt;year&gt;2010&lt;/year&gt;&lt;/dates&gt;&lt;urls&gt;&lt;related-urls&gt;&lt;url&gt;http://www.researchgate.net/profile/Sherry_Stewart/publication/41138477_A_critical_review_of_laboratory-based_studies_examining_the_relationships_of_social_anxiety_and_alcohol_intake/links/0c96051e8054dac5bc000000&lt;/url&gt;&lt;/related-urls&gt;&lt;/urls&gt;&lt;electronic-resource-num&gt;10.2174/1874473711003010003&lt;/electronic-resource-num&gt;&lt;/record&gt;&lt;/Cite&gt;&lt;/EndNote&gt;</w:instrText>
      </w:r>
      <w:r w:rsidR="00F00522">
        <w:fldChar w:fldCharType="separate"/>
      </w:r>
      <w:r w:rsidR="00DF7C6A">
        <w:rPr>
          <w:noProof/>
        </w:rPr>
        <w:t>(Battista et al., 2010)</w:t>
      </w:r>
      <w:r w:rsidR="00F00522">
        <w:fldChar w:fldCharType="end"/>
      </w:r>
      <w:r>
        <w:t xml:space="preserve">, and qualitative research describing ‘anticipatory pleasures’ and ‘retrospective bonding’ around drinking </w:t>
      </w:r>
      <w:r w:rsidR="00F00522">
        <w:fldChar w:fldCharType="begin"/>
      </w:r>
      <w:r w:rsidR="00DF7C6A">
        <w:instrText xml:space="preserve"> ADDIN EN.CITE &lt;EndNote&gt;&lt;Cite&gt;&lt;Author&gt;Brown&lt;/Author&gt;&lt;Year&gt;2012&lt;/Year&gt;&lt;RecNum&gt;2212&lt;/RecNum&gt;&lt;DisplayText&gt;(Brown &amp;amp; Gregg, 2012)&lt;/DisplayText&gt;&lt;record&gt;&lt;rec-number&gt;2212&lt;/rec-number&gt;&lt;foreign-keys&gt;&lt;key app="EN" db-id="sttprxrp6925duet9e6pf2zo2drwvda5wf02" timestamp="1406211311"&gt;2212&lt;/key&gt;&lt;/foreign-keys&gt;&lt;ref-type name="Journal Article"&gt;17&lt;/ref-type&gt;&lt;contributors&gt;&lt;authors&gt;&lt;author&gt;Rebecca Brown &lt;/author&gt;&lt;author&gt;Melissa Gregg&lt;/author&gt;&lt;/authors&gt;&lt;/contributors&gt;&lt;titles&gt;&lt;title&gt;The pedagogy of regret: Facebook, binge drinking and young women&lt;/title&gt;&lt;secondary-title&gt;Continuum: Journal of Media &amp;amp; Cultural Studies&lt;/secondary-title&gt;&lt;/titles&gt;&lt;periodical&gt;&lt;full-title&gt;Continuum: Journal of Media &amp;amp; Cultural Studies&lt;/full-title&gt;&lt;/periodical&gt;&lt;pages&gt;357-369&lt;/pages&gt;&lt;volume&gt;26&lt;/volume&gt;&lt;number&gt;3&lt;/number&gt;&lt;dates&gt;&lt;year&gt;2012&lt;/year&gt;&lt;/dates&gt;&lt;urls&gt;&lt;/urls&gt;&lt;electronic-resource-num&gt;10.1080/10304312.2012.665834&lt;/electronic-resource-num&gt;&lt;/record&gt;&lt;/Cite&gt;&lt;/EndNote&gt;</w:instrText>
      </w:r>
      <w:r w:rsidR="00F00522">
        <w:fldChar w:fldCharType="separate"/>
      </w:r>
      <w:r w:rsidR="00DF7C6A">
        <w:rPr>
          <w:noProof/>
        </w:rPr>
        <w:t>(Brown &amp; Gregg, 2012)</w:t>
      </w:r>
      <w:r w:rsidR="00F00522">
        <w:fldChar w:fldCharType="end"/>
      </w:r>
      <w:r>
        <w:t xml:space="preserve">.  </w:t>
      </w:r>
      <w:r w:rsidR="00A03B98">
        <w:t>However, t</w:t>
      </w:r>
      <w:r>
        <w:t>he scale</w:t>
      </w:r>
      <w:r w:rsidR="00A03B98">
        <w:t xml:space="preserve">, </w:t>
      </w:r>
      <w:r>
        <w:t xml:space="preserve">dose-response </w:t>
      </w:r>
      <w:r w:rsidR="00A03B98">
        <w:t xml:space="preserve">and </w:t>
      </w:r>
      <w:r w:rsidRPr="00554B21">
        <w:t>timing</w:t>
      </w:r>
      <w:r>
        <w:t xml:space="preserve"> of </w:t>
      </w:r>
      <w:r w:rsidR="003A3EED">
        <w:t xml:space="preserve">some of these </w:t>
      </w:r>
      <w:r>
        <w:t xml:space="preserve">overspill effects is </w:t>
      </w:r>
      <w:r w:rsidR="00A03B98">
        <w:t>unclear</w:t>
      </w:r>
      <w:r>
        <w:t>.</w:t>
      </w:r>
      <w:r w:rsidDel="00D51C81">
        <w:t xml:space="preserve"> </w:t>
      </w:r>
    </w:p>
    <w:p w14:paraId="328E04D3" w14:textId="7E3F224C" w:rsidR="00C6268E" w:rsidRDefault="00C6268E" w:rsidP="00C6268E">
      <w:r>
        <w:t>A further issue is that average impact</w:t>
      </w:r>
      <w:r w:rsidR="00A03B98">
        <w:t>s</w:t>
      </w:r>
      <w:r>
        <w:t xml:space="preserve"> </w:t>
      </w:r>
      <w:r w:rsidR="00A03B98">
        <w:t xml:space="preserve">are </w:t>
      </w:r>
      <w:r>
        <w:t>likely to conceal considerable heterogeneity.  Partly this is because the response to alcohol is ‘biphasic’</w:t>
      </w:r>
      <w:r w:rsidR="003A3EED">
        <w:t>,</w:t>
      </w:r>
      <w:r>
        <w:t xml:space="preserve"> with different effects in the ascending and descending </w:t>
      </w:r>
      <w:r>
        <w:lastRenderedPageBreak/>
        <w:t xml:space="preserve">limbs of the blood alcohol curve – stimulant effects seem to be restricted to increasing intoxication, whereas sedative effects predominate during decreasing intoxication </w:t>
      </w:r>
      <w:r w:rsidR="00F00522">
        <w:fldChar w:fldCharType="begin"/>
      </w:r>
      <w:r w:rsidR="00DF7C6A">
        <w:instrText xml:space="preserve"> ADDIN EN.CITE &lt;EndNote&gt;&lt;Cite&gt;&lt;Author&gt;Martin&lt;/Author&gt;&lt;Year&gt;1993&lt;/Year&gt;&lt;RecNum&gt;2206&lt;/RecNum&gt;&lt;DisplayText&gt;(Martin et al., 1993)&lt;/DisplayText&gt;&lt;record&gt;&lt;rec-number&gt;2206&lt;/rec-number&gt;&lt;foreign-keys&gt;&lt;key app="EN" db-id="sttprxrp6925duet9e6pf2zo2drwvda5wf02" timestamp="1406195133"&gt;2206&lt;/key&gt;&lt;/foreign-keys&gt;&lt;ref-type name="Journal Article"&gt;17&lt;/ref-type&gt;&lt;contributors&gt;&lt;authors&gt;&lt;author&gt;Martin, Christopher S.&lt;/author&gt;&lt;author&gt;Earleywine, Mitchell&lt;/author&gt;&lt;author&gt;Musty, Richard E.&lt;/author&gt;&lt;author&gt;Perrine, M. W.&lt;/author&gt;&lt;author&gt;Swift, Robert M.&lt;/author&gt;&lt;/authors&gt;&lt;/contributors&gt;&lt;titles&gt;&lt;title&gt;Development and Validation of the Biphasic Alcohol Effects Scale&lt;/title&gt;&lt;secondary-title&gt;Alcoholism: Clinical and Experimental Research&lt;/secondary-title&gt;&lt;/titles&gt;&lt;periodical&gt;&lt;full-title&gt;Alcoholism: Clinical and Experimental Research&lt;/full-title&gt;&lt;/periodical&gt;&lt;pages&gt;140-146&lt;/pages&gt;&lt;volume&gt;17&lt;/volume&gt;&lt;number&gt;1&lt;/number&gt;&lt;keywords&gt;&lt;keyword&gt;Biphasic Alcohol Effects&lt;/keyword&gt;&lt;keyword&gt;Stimulation&lt;/keyword&gt;&lt;keyword&gt;Sedation&lt;/keyword&gt;&lt;keyword&gt;Limb of Blood Alcohol Curve.&lt;/keyword&gt;&lt;/keywords&gt;&lt;dates&gt;&lt;year&gt;1993&lt;/year&gt;&lt;/dates&gt;&lt;publisher&gt;Blackwell Publishing Ltd&lt;/publisher&gt;&lt;isbn&gt;1530-0277&lt;/isbn&gt;&lt;urls&gt;&lt;related-urls&gt;&lt;url&gt;http://dx.doi.org/10.1111/j.1530-0277.1993.tb00739.x&lt;/url&gt;&lt;/related-urls&gt;&lt;/urls&gt;&lt;electronic-resource-num&gt;10.1111/j.1530-0277.1993.tb00739.x&lt;/electronic-resource-num&gt;&lt;/record&gt;&lt;/Cite&gt;&lt;/EndNote&gt;</w:instrText>
      </w:r>
      <w:r w:rsidR="00F00522">
        <w:fldChar w:fldCharType="separate"/>
      </w:r>
      <w:r w:rsidR="00DF7C6A">
        <w:rPr>
          <w:noProof/>
        </w:rPr>
        <w:t>(Martin et al., 1993)</w:t>
      </w:r>
      <w:r w:rsidR="00F00522">
        <w:fldChar w:fldCharType="end"/>
      </w:r>
      <w:r>
        <w:t xml:space="preserve"> – and with different impacts at </w:t>
      </w:r>
      <w:r w:rsidR="000306A2">
        <w:t xml:space="preserve">different </w:t>
      </w:r>
      <w:r>
        <w:t xml:space="preserve">doses.  There has been a temptation to suggest that all of the pleasures of drinking come with ‘moderate’ consumption rather than intoxication, but the strong form of this claim has been subject to critique </w:t>
      </w:r>
      <w:r w:rsidR="00F00522">
        <w:fldChar w:fldCharType="begin">
          <w:fldData xml:space="preserve">PEVuZE5vdGU+PENpdGU+PEF1dGhvcj5Sb29tPC9BdXRob3I+PFllYXI+MjAwMDwvWWVhcj48UmVj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</w:fldData>
        </w:fldChar>
      </w:r>
      <w:r w:rsidR="00DF7C6A">
        <w:instrText xml:space="preserve"> ADDIN EN.CITE </w:instrText>
      </w:r>
      <w:r w:rsidR="00DF7C6A">
        <w:fldChar w:fldCharType="begin">
          <w:fldData xml:space="preserve">PEVuZE5vdGU+PENpdGU+PEF1dGhvcj5Sb29tPC9BdXRob3I+PFllYXI+MjAwMDwvWWVhcj48UmVj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</w:fldData>
        </w:fldChar>
      </w:r>
      <w:r w:rsidR="00DF7C6A">
        <w:instrText xml:space="preserve"> ADDIN EN.CITE.DATA </w:instrText>
      </w:r>
      <w:r w:rsidR="00DF7C6A">
        <w:fldChar w:fldCharType="end"/>
      </w:r>
      <w:r w:rsidR="00F00522">
        <w:fldChar w:fldCharType="separate"/>
      </w:r>
      <w:r w:rsidR="00DF7C6A">
        <w:rPr>
          <w:noProof/>
        </w:rPr>
        <w:t>(Keane, 2009; Room, 2000)</w:t>
      </w:r>
      <w:r w:rsidR="00F00522">
        <w:fldChar w:fldCharType="end"/>
      </w:r>
      <w:r>
        <w:t>.  Instead, heavier drinkers report greater stimulant and lower sedative effects</w:t>
      </w:r>
      <w:r w:rsidR="009A5FE0">
        <w:t xml:space="preserve"> </w:t>
      </w:r>
      <w:r w:rsidR="00F00522">
        <w:fldChar w:fldCharType="begin"/>
      </w:r>
      <w:r w:rsidR="00DF7C6A">
        <w:instrText xml:space="preserve"> ADDIN EN.CITE &lt;EndNote&gt;&lt;Cite&gt;&lt;Author&gt;King&lt;/Author&gt;&lt;Year&gt;2011&lt;/Year&gt;&lt;RecNum&gt;2207&lt;/RecNum&gt;&lt;DisplayText&gt;(King et al., 2011)&lt;/DisplayText&gt;&lt;record&gt;&lt;rec-number&gt;2207&lt;/rec-number&gt;&lt;foreign-keys&gt;&lt;key app="EN" db-id="sttprxrp6925duet9e6pf2zo2drwvda5wf02" timestamp="1406195702"&gt;2207&lt;/key&gt;&lt;/foreign-keys&gt;&lt;ref-type name="Journal Article"&gt;17&lt;/ref-type&gt;&lt;contributors&gt;&lt;authors&gt;&lt;author&gt;King, A. C.&lt;/author&gt;&lt;author&gt;de Wit, H.&lt;/author&gt;&lt;author&gt;McNamara, P. J.&lt;/author&gt;&lt;author&gt;Cao, D.&lt;/author&gt;&lt;/authors&gt;&lt;/contributors&gt;&lt;titles&gt;&lt;title&gt;Rewarding, stimulant, and sedative alcohol responses and relationship to future binge drinking&lt;/title&gt;&lt;secondary-title&gt;Archives of General Psychiatry&lt;/secondary-title&gt;&lt;/titles&gt;&lt;periodical&gt;&lt;full-title&gt;Archives of General Psychiatry&lt;/full-title&gt;&lt;/periodical&gt;&lt;pages&gt;389-399&lt;/pages&gt;&lt;volume&gt;68&lt;/volume&gt;&lt;number&gt;4&lt;/number&gt;&lt;dates&gt;&lt;year&gt;2011&lt;/year&gt;&lt;/dates&gt;&lt;isbn&gt;0003-990X&lt;/isbn&gt;&lt;urls&gt;&lt;related-urls&gt;&lt;url&gt;http://dx.doi.org/10.1001/archgenpsychiatry.2011.26&lt;/url&gt;&lt;/related-urls&gt;&lt;/urls&gt;&lt;electronic-resource-num&gt;10.1001/archgenpsychiatry.2011.26&lt;/electronic-resource-num&gt;&lt;/record&gt;&lt;/Cite&gt;&lt;/EndNote&gt;</w:instrText>
      </w:r>
      <w:r w:rsidR="00F00522">
        <w:fldChar w:fldCharType="separate"/>
      </w:r>
      <w:r w:rsidR="00DF7C6A">
        <w:rPr>
          <w:noProof/>
        </w:rPr>
        <w:t>(King et al., 2011)</w:t>
      </w:r>
      <w:r w:rsidR="00F00522">
        <w:fldChar w:fldCharType="end"/>
      </w:r>
      <w:r>
        <w:t>, and people expect greater levels of both happiness and misery at higher levels of consumption</w:t>
      </w:r>
      <w:r w:rsidR="009A5FE0">
        <w:t xml:space="preserve"> </w:t>
      </w:r>
      <w:r w:rsidR="00F00522">
        <w:fldChar w:fldCharType="begin"/>
      </w:r>
      <w:r w:rsidR="00DF7C6A">
        <w:instrText xml:space="preserve"> ADDIN EN.CITE &lt;EndNote&gt;&lt;Cite&gt;&lt;Author&gt;Adey&lt;/Author&gt;&lt;Year&gt;2010&lt;/Year&gt;&lt;RecNum&gt;2183&lt;/RecNum&gt;&lt;DisplayText&gt;(Adey et al., 2010)&lt;/DisplayText&gt;&lt;record&gt;&lt;rec-number&gt;2183&lt;/rec-number&gt;&lt;foreign-keys&gt;&lt;key app="EN" db-id="sttprxrp6925duet9e6pf2zo2drwvda5wf02" timestamp="1399644034"&gt;2183&lt;/key&gt;&lt;/foreign-keys&gt;&lt;ref-type name="Journal Article"&gt;17&lt;/ref-type&gt;&lt;contributors&gt;&lt;authors&gt;&lt;author&gt;Adey, Gwen E.&lt;/author&gt;&lt;author&gt;Moore, Simon C.&lt;/author&gt;&lt;author&gt;Chestnutt, Ivor G.&lt;/author&gt;&lt;/authors&gt;&lt;/contributors&gt;&lt;titles&gt;&lt;title&gt;Dose–response expectancies for alcohol: Validation and implications for brief interventions&lt;/title&gt;&lt;secondary-title&gt;Drug and Alcohol Review&lt;/secondary-title&gt;&lt;/titles&gt;&lt;periodical&gt;&lt;full-title&gt;Drug and Alcohol Review&lt;/full-title&gt;&lt;/periodical&gt;&lt;pages&gt;662-668&lt;/pages&gt;&lt;volume&gt;29&lt;/volume&gt;&lt;number&gt;6&lt;/number&gt;&lt;keywords&gt;&lt;keyword&gt;alcohol expectancy&lt;/keyword&gt;&lt;keyword&gt;dose&lt;/keyword&gt;&lt;keyword&gt;brief intervention&lt;/keyword&gt;&lt;/keywords&gt;&lt;dates&gt;&lt;year&gt;2010&lt;/year&gt;&lt;/dates&gt;&lt;publisher&gt;Blackwell Publishing Asia&lt;/publisher&gt;&lt;isbn&gt;1465-3362&lt;/isbn&gt;&lt;urls&gt;&lt;related-urls&gt;&lt;url&gt;http://dx.doi.org/10.1111/j.1465-3362.2010.00229.x&lt;/url&gt;&lt;/related-urls&gt;&lt;/urls&gt;&lt;electronic-resource-num&gt;10.1111/j.1465-3362.2010.00229.x&lt;/electronic-resource-num&gt;&lt;/record&gt;&lt;/Cite&gt;&lt;/EndNote&gt;</w:instrText>
      </w:r>
      <w:r w:rsidR="00F00522">
        <w:fldChar w:fldCharType="separate"/>
      </w:r>
      <w:r w:rsidR="00DF7C6A">
        <w:rPr>
          <w:noProof/>
        </w:rPr>
        <w:t>(Adey et al., 2010)</w:t>
      </w:r>
      <w:r w:rsidR="00F00522">
        <w:fldChar w:fldCharType="end"/>
      </w:r>
      <w:r>
        <w:t xml:space="preserve">. </w:t>
      </w:r>
    </w:p>
    <w:p w14:paraId="199271B4" w14:textId="477AC495" w:rsidR="00C6268E" w:rsidRDefault="00C6268E" w:rsidP="00C6268E">
      <w:r>
        <w:t xml:space="preserve">Heterogeneity is also likely because the pleasures (and pains) of drinking are often due to our own expectations and the reactions of people around us </w:t>
      </w:r>
      <w:r w:rsidR="00F00522">
        <w:fldChar w:fldCharType="begin"/>
      </w:r>
      <w:r w:rsidR="0036714E">
        <w:instrText xml:space="preserve"> ADDIN EN.CITE &lt;EndNote&gt;&lt;Cite&gt;&lt;Author&gt;Room&lt;/Author&gt;&lt;Year&gt;2000&lt;/Year&gt;&lt;RecNum&gt;2187&lt;/RecNum&gt;&lt;DisplayText&gt;(Room, 2000)&lt;/DisplayText&gt;&lt;record&gt;&lt;rec-number&gt;2187&lt;/rec-number&gt;&lt;foreign-keys&gt;&lt;key app="EN" db-id="sttprxrp6925duet9e6pf2zo2drwvda5wf02" timestamp="1399646565"&gt;2187&lt;/key&gt;&lt;/foreign-keys&gt;&lt;ref-type name="Journal Article"&gt;17&lt;/ref-type&gt;&lt;contributors&gt;&lt;authors&gt;&lt;author&gt;Room, Robin&lt;/author&gt;&lt;/authors&gt;&lt;/contributors&gt;&lt;titles&gt;&lt;title&gt;The more drinking, the more fun; but is there a calculus of fun, and should it drive policy?&lt;/title&gt;&lt;secondary-title&gt;Drug and Alcohol Dependence&lt;/secondary-title&gt;&lt;/titles&gt;&lt;periodical&gt;&lt;full-title&gt;Drug and Alcohol Dependence&lt;/full-title&gt;&lt;/periodical&gt;&lt;pages&gt;249-250&lt;/pages&gt;&lt;volume&gt;60&lt;/volume&gt;&lt;number&gt;3&lt;/number&gt;&lt;dates&gt;&lt;year&gt;2000&lt;/year&gt;&lt;pub-dates&gt;&lt;date&gt;11/10/&lt;/date&gt;&lt;/pub-dates&gt;&lt;/dates&gt;&lt;isbn&gt;0376-8716&lt;/isbn&gt;&lt;urls&gt;&lt;related-urls&gt;&lt;url&gt;http://www.sciencedirect.com/science/article/pii/S0376871600001344&lt;/url&gt;&lt;/related-urls&gt;&lt;/urls&gt;&lt;electronic-resource-num&gt;http://dx.doi.org/10.1016/S0376-8716(00)00134-4&lt;/electronic-resource-num&gt;&lt;/record&gt;&lt;/Cite&gt;&lt;/EndNote&gt;</w:instrText>
      </w:r>
      <w:r w:rsidR="00F00522">
        <w:fldChar w:fldCharType="separate"/>
      </w:r>
      <w:r w:rsidR="0036714E">
        <w:rPr>
          <w:noProof/>
        </w:rPr>
        <w:t>(Room, 2000)</w:t>
      </w:r>
      <w:r w:rsidR="00F00522">
        <w:fldChar w:fldCharType="end"/>
      </w:r>
      <w:r>
        <w:t xml:space="preserve">.  </w:t>
      </w:r>
      <w:r w:rsidR="00881FBC">
        <w:t>This not only means that drinkers’ expectations may influence wellbeing</w:t>
      </w:r>
      <w:r>
        <w:t xml:space="preserve">, </w:t>
      </w:r>
      <w:r w:rsidR="00881FBC">
        <w:t xml:space="preserve">but that </w:t>
      </w:r>
      <w:r>
        <w:t xml:space="preserve">the relationship between alcohol and wellbeing will vary considerably </w:t>
      </w:r>
      <w:r w:rsidR="00AC6DD7">
        <w:t xml:space="preserve">across different cultures </w:t>
      </w:r>
      <w:r w:rsidR="00F00522">
        <w:fldChar w:fldCharType="begin"/>
      </w:r>
      <w:r w:rsidR="00DF7C6A">
        <w:instrText xml:space="preserve"> ADDIN EN.CITE &lt;EndNote&gt;&lt;Cite&gt;&lt;Author&gt;Peele&lt;/Author&gt;&lt;Year&gt;1999&lt;/Year&gt;&lt;RecNum&gt;2027&lt;/RecNum&gt;&lt;DisplayText&gt;(Peele &amp;amp; Grant, 1999)&lt;/DisplayText&gt;&lt;record&gt;&lt;rec-number&gt;2027&lt;/rec-number&gt;&lt;foreign-keys&gt;&lt;key app="EN" db-id="sttprxrp6925duet9e6pf2zo2drwvda5wf02" timestamp="1314186250"&gt;2027&lt;/key&gt;&lt;/foreign-keys&gt;&lt;ref-type name="Edited Book"&gt;28&lt;/ref-type&gt;&lt;contributors&gt;&lt;authors&gt;&lt;author&gt;Peele,Stanton&lt;/author&gt;&lt;author&gt;Grant,Marcus&lt;/author&gt;&lt;/authors&gt;&lt;/contributors&gt;&lt;titles&gt;&lt;title&gt;Alcohol and pleasure: a health perspective&lt;/title&gt;&lt;/titles&gt;&lt;keywords&gt;&lt;keyword&gt;pleasure&lt;/keyword&gt;&lt;/keywords&gt;&lt;dates&gt;&lt;year&gt;1999&lt;/year&gt;&lt;/dates&gt;&lt;pub-location&gt;Philadelphia, PA&lt;/pub-location&gt;&lt;publisher&gt;Taylor &amp;amp; Francis&lt;/publisher&gt;&lt;urls&gt;&lt;/urls&gt;&lt;custom1&gt;Read&lt;/custom1&gt;&lt;/record&gt;&lt;/Cite&gt;&lt;/EndNote&gt;</w:instrText>
      </w:r>
      <w:r w:rsidR="00F00522">
        <w:fldChar w:fldCharType="separate"/>
      </w:r>
      <w:r w:rsidR="00DF7C6A">
        <w:rPr>
          <w:noProof/>
        </w:rPr>
        <w:t>(Peele &amp; Grant, 1999)</w:t>
      </w:r>
      <w:r w:rsidR="00F00522">
        <w:fldChar w:fldCharType="end"/>
      </w:r>
      <w:r>
        <w:t xml:space="preserve">, particularly for the social consequences that are most closely bound up with </w:t>
      </w:r>
      <w:r w:rsidR="003A3EED">
        <w:t>expectations</w:t>
      </w:r>
      <w:r>
        <w:t>.</w:t>
      </w:r>
      <w:r w:rsidR="0036714E">
        <w:t xml:space="preserve">  </w:t>
      </w:r>
      <w:r>
        <w:t>Alcohol may therefore have different impacts on different concepts of wellbeing, when measured over different time periods, or for different population groups.  While we return to this in the Discussion, we primarily focus directly on ways of considering the average effects of drinking on subjective wellbeing.</w:t>
      </w:r>
    </w:p>
    <w:p w14:paraId="7010748B" w14:textId="4253FB52" w:rsidR="00C6268E" w:rsidRDefault="00C6268E" w:rsidP="000D5565">
      <w:pPr>
        <w:pStyle w:val="Heading3"/>
      </w:pPr>
      <w:r>
        <w:t>Empirical studies of alcohol and wellbeing</w:t>
      </w:r>
    </w:p>
    <w:p w14:paraId="1D9612CB" w14:textId="396E1AE3" w:rsidR="00B07D80" w:rsidRDefault="00403234" w:rsidP="00504FE6">
      <w:r>
        <w:t xml:space="preserve">There </w:t>
      </w:r>
      <w:r w:rsidR="00B07D80">
        <w:t xml:space="preserve">are no reviews of the impact of alcohol on wellbeing </w:t>
      </w:r>
      <w:r w:rsidR="00F00522">
        <w:rPr>
          <w:noProof/>
        </w:rPr>
        <w:fldChar w:fldCharType="begin"/>
      </w:r>
      <w:r w:rsidR="00DF7C6A">
        <w:rPr>
          <w:noProof/>
        </w:rPr>
        <w:instrText xml:space="preserve"> ADDIN EN.CITE &lt;EndNote&gt;&lt;Cite&gt;&lt;Author&gt;Boden&lt;/Author&gt;&lt;Year&gt;2011&lt;/Year&gt;&lt;RecNum&gt;2156&lt;/RecNum&gt;&lt;Prefix&gt;unlike for depression`; see &lt;/Prefix&gt;&lt;Suffix&gt;`, which suggests a non-linear causal impact of drinking&lt;/Suffix&gt;&lt;DisplayText&gt;(unlike for depression; see Boden &amp;amp; Fergusson, 2011, which suggests a non-linear causal impact of drinking)&lt;/DisplayText&gt;&lt;record&gt;&lt;rec-number&gt;2156&lt;/rec-number&gt;&lt;foreign-keys&gt;&lt;key app="EN" db-id="sttprxrp6925duet9e6pf2zo2drwvda5wf02" timestamp="1393680929"&gt;2156&lt;/key&gt;&lt;/foreign-keys&gt;&lt;ref-type name="Journal Article"&gt;17&lt;/ref-type&gt;&lt;contributors&gt;&lt;authors&gt;&lt;author&gt;Boden, Joseph M.&lt;/author&gt;&lt;author&gt;Fergusson, David M.&lt;/author&gt;&lt;/authors&gt;&lt;/contributors&gt;&lt;titles&gt;&lt;title&gt;Alcohol and depression&lt;/title&gt;&lt;secondary-title&gt;Addiction&lt;/secondary-title&gt;&lt;/titles&gt;&lt;periodical&gt;&lt;full-title&gt;Addiction&lt;/full-title&gt;&lt;/periodical&gt;&lt;pages&gt;906-914&lt;/pages&gt;&lt;volume&gt;106&lt;/volume&gt;&lt;number&gt;5&lt;/number&gt;&lt;keywords&gt;&lt;keyword&gt;Alcohol&lt;/keyword&gt;&lt;keyword&gt;alcohol use disorder&lt;/keyword&gt;&lt;keyword&gt;causality&lt;/keyword&gt;&lt;keyword&gt;epidemiology&lt;/keyword&gt;&lt;keyword&gt;literature review&lt;/keyword&gt;&lt;keyword&gt;major depression&lt;/keyword&gt;&lt;/keywords&gt;&lt;dates&gt;&lt;year&gt;2011&lt;/year&gt;&lt;/dates&gt;&lt;publisher&gt;Blackwell Publishing Ltd&lt;/publisher&gt;&lt;isbn&gt;1360-0443&lt;/isbn&gt;&lt;urls&gt;&lt;related-urls&gt;&lt;url&gt;http://dx.doi.org/10.1111/j.1360-0443.2010.03351.x&lt;/url&gt;&lt;/related-urls&gt;&lt;/urls&gt;&lt;electronic-resource-num&gt;10.1111/j.1360-0443.2010.03351.x&lt;/electronic-resource-num&gt;&lt;/record&gt;&lt;/Cite&gt;&lt;/EndNote&gt;</w:instrText>
      </w:r>
      <w:r w:rsidR="00F00522">
        <w:rPr>
          <w:noProof/>
        </w:rPr>
        <w:fldChar w:fldCharType="separate"/>
      </w:r>
      <w:r w:rsidR="00DF7C6A">
        <w:rPr>
          <w:noProof/>
        </w:rPr>
        <w:t>(unlike for depression; see Boden &amp; Fergusson, 2011, which suggests a non-linear causal impact of drinking)</w:t>
      </w:r>
      <w:r w:rsidR="00F00522">
        <w:rPr>
          <w:noProof/>
        </w:rPr>
        <w:fldChar w:fldCharType="end"/>
      </w:r>
      <w:r w:rsidR="00B07D80">
        <w:t>. A number of individual studies exist</w:t>
      </w:r>
      <w:r w:rsidR="00B07D80" w:rsidRPr="00495505">
        <w:t xml:space="preserve">, </w:t>
      </w:r>
      <w:r w:rsidR="00B07D80">
        <w:t xml:space="preserve">but these are </w:t>
      </w:r>
      <w:r w:rsidR="00B07D80" w:rsidRPr="00495505">
        <w:t xml:space="preserve">primarily cross-sectional </w:t>
      </w:r>
      <w:r w:rsidR="00B07D80">
        <w:t xml:space="preserve">studies </w:t>
      </w:r>
      <w:r w:rsidR="005709EF">
        <w:t>where t</w:t>
      </w:r>
      <w:r w:rsidR="00B07D80">
        <w:t>he direction of causality is unclear</w:t>
      </w:r>
      <w:r w:rsidR="005709EF">
        <w:t>.  T</w:t>
      </w:r>
      <w:r w:rsidR="00B07D80">
        <w:t>wo types of longitudinal study have been conducted:</w:t>
      </w:r>
    </w:p>
    <w:p w14:paraId="215BC519" w14:textId="500A3853" w:rsidR="00B07D80" w:rsidRDefault="00B07D80" w:rsidP="00504FE6">
      <w:pPr>
        <w:numPr>
          <w:ilvl w:val="0"/>
          <w:numId w:val="3"/>
        </w:numPr>
      </w:pPr>
      <w:r>
        <w:t>The first look</w:t>
      </w:r>
      <w:r w:rsidR="00A51A08">
        <w:t>s</w:t>
      </w:r>
      <w:r>
        <w:t xml:space="preserve"> at the lagged impact of drinking on later wellbeing.  </w:t>
      </w:r>
      <w:r w:rsidR="00A51A08">
        <w:t>A</w:t>
      </w:r>
      <w:r>
        <w:t>mong adolescents, alcohol use either has no significant effect</w:t>
      </w:r>
      <w:r w:rsidR="009A5FE0">
        <w:t xml:space="preserve"> </w:t>
      </w:r>
      <w:r w:rsidR="00F00522">
        <w:fldChar w:fldCharType="begin"/>
      </w:r>
      <w:r w:rsidR="00DF7C6A">
        <w:instrText xml:space="preserve"> ADDIN EN.CITE &lt;EndNote&gt;&lt;Cite&gt;&lt;Author&gt;Mason&lt;/Author&gt;&lt;Year&gt;2011&lt;/Year&gt;&lt;RecNum&gt;2141&lt;/RecNum&gt;&lt;DisplayText&gt;(Mason &amp;amp; Spoth, 2011)&lt;/DisplayText&gt;&lt;record&gt;&lt;rec-number&gt;2141&lt;/rec-number&gt;&lt;foreign-keys&gt;&lt;key app="EN" db-id="sttprxrp6925duet9e6pf2zo2drwvda5wf02" timestamp="1390912232"&gt;2141&lt;/key&gt;&lt;/foreign-keys&gt;&lt;ref-type name="Journal Article"&gt;17&lt;/ref-type&gt;&lt;contributors&gt;&lt;authors&gt;&lt;author&gt;Mason, Alex W&lt;/author&gt;&lt;author&gt;Spoth, Richard L&lt;/author&gt;&lt;/authors&gt;&lt;/contributors&gt;&lt;titles&gt;&lt;title&gt;Longitudinal Associations of Alcohol Involvement with Subjective Well-Being in Adolescence and Prediction to Alcohol Problems in Early Adulthood&lt;/title&gt;&lt;secondary-title&gt;Journal of Youth and Adolescence&lt;/secondary-title&gt;&lt;alt-title&gt;J Youth Adolescence&lt;/alt-title&gt;&lt;/titles&gt;&lt;periodical&gt;&lt;full-title&gt;Journal of Youth and Adolescence&lt;/full-title&gt;&lt;/periodical&gt;&lt;pages&gt;1215-1224&lt;/pages&gt;&lt;volume&gt;40&lt;/volume&gt;&lt;number&gt;9&lt;/number&gt;&lt;keywords&gt;&lt;keyword&gt;Alcohol use&lt;/keyword&gt;&lt;keyword&gt;Subjective well-being&lt;/keyword&gt;&lt;keyword&gt;Longitudinal&lt;/keyword&gt;&lt;keyword&gt;Adolescence&lt;/keyword&gt;&lt;keyword&gt;Early adulthood&lt;/keyword&gt;&lt;/keywords&gt;&lt;dates&gt;&lt;year&gt;2011&lt;/year&gt;&lt;pub-dates&gt;&lt;date&gt;2011/09/01&lt;/date&gt;&lt;/pub-dates&gt;&lt;/dates&gt;&lt;publisher&gt;Springer US&lt;/publisher&gt;&lt;isbn&gt;0047-2891&lt;/isbn&gt;&lt;urls&gt;&lt;related-urls&gt;&lt;url&gt;http://dx.doi.org/10.1007/s10964-011-9632-z&lt;/url&gt;&lt;/related-urls&gt;&lt;/urls&gt;&lt;electronic-resource-num&gt;10.1007/s10964-011-9632-z&lt;/electronic-resource-num&gt;&lt;language&gt;English&lt;/language&gt;&lt;/record&gt;&lt;/Cite&gt;&lt;/EndNote&gt;</w:instrText>
      </w:r>
      <w:r w:rsidR="00F00522">
        <w:fldChar w:fldCharType="separate"/>
      </w:r>
      <w:r w:rsidR="00DF7C6A">
        <w:rPr>
          <w:noProof/>
        </w:rPr>
        <w:t>(Mason &amp; Spoth, 2011)</w:t>
      </w:r>
      <w:r w:rsidR="00F00522">
        <w:fldChar w:fldCharType="end"/>
      </w:r>
      <w:r>
        <w:t xml:space="preserve"> or is associated with lower later wellbeing </w:t>
      </w:r>
      <w:r w:rsidR="00F00522">
        <w:fldChar w:fldCharType="begin"/>
      </w:r>
      <w:r w:rsidR="00DF7C6A">
        <w:instrText xml:space="preserve"> ADDIN EN.CITE &lt;EndNote&gt;&lt;Cite&gt;&lt;Author&gt;Newcomb&lt;/Author&gt;&lt;Year&gt;1986&lt;/Year&gt;&lt;RecNum&gt;2138&lt;/RecNum&gt;&lt;DisplayText&gt;(Newcomb et al., 1986)&lt;/DisplayText&gt;&lt;record&gt;&lt;rec-number&gt;2138&lt;/rec-number&gt;&lt;foreign-keys&gt;&lt;key app="EN" db-id="sttprxrp6925duet9e6pf2zo2drwvda5wf02" timestamp="1390911106"&gt;2138&lt;/key&gt;&lt;/foreign-keys&gt;&lt;ref-type name="Journal Article"&gt;17&lt;/ref-type&gt;&lt;contributors&gt;&lt;authors&gt;&lt;author&gt;Newcomb, Michael D&lt;/author&gt;&lt;author&gt;Bentler, Peter M&lt;/author&gt;&lt;author&gt;Collins, Caroline&lt;/author&gt;&lt;/authors&gt;&lt;/contributors&gt;&lt;titles&gt;&lt;title&gt;Alcohol use and dissatisfaction with self and life: A longitudinal analysis of young adults&lt;/title&gt;&lt;secondary-title&gt;Journal of Drug Issues&lt;/secondary-title&gt;&lt;/titles&gt;&lt;periodical&gt;&lt;full-title&gt;Journal of Drug Issues&lt;/full-title&gt;&lt;/periodical&gt;&lt;pages&gt;479-494&lt;/pages&gt;&lt;volume&gt;16&lt;/volume&gt;&lt;number&gt;4&lt;/number&gt;&lt;dates&gt;&lt;year&gt;1986&lt;/year&gt;&lt;/dates&gt;&lt;urls&gt;&lt;related-urls&gt;&lt;url&gt;http://psycnet.apa.org/index.cfm?fa=search.displayRecord&amp;amp;UID=1988-10623-001&lt;/url&gt;&lt;/related-urls&gt;&lt;/urls&gt;&lt;/record&gt;&lt;/Cite&gt;&lt;/EndNote&gt;</w:instrText>
      </w:r>
      <w:r w:rsidR="00F00522">
        <w:fldChar w:fldCharType="separate"/>
      </w:r>
      <w:r w:rsidR="00DF7C6A">
        <w:rPr>
          <w:noProof/>
        </w:rPr>
        <w:t>(Newcomb et al., 1986)</w:t>
      </w:r>
      <w:r w:rsidR="00F00522">
        <w:fldChar w:fldCharType="end"/>
      </w:r>
      <w:r>
        <w:t xml:space="preserve">; </w:t>
      </w:r>
      <w:r w:rsidR="00A51A08">
        <w:t xml:space="preserve">while </w:t>
      </w:r>
      <w:r>
        <w:t xml:space="preserve">among young adults, studies variously find that greater levels of drinking are associated with </w:t>
      </w:r>
      <w:r w:rsidRPr="00076FDD">
        <w:rPr>
          <w:i/>
        </w:rPr>
        <w:t>higher</w:t>
      </w:r>
      <w:r>
        <w:t xml:space="preserve"> later wellbeing </w:t>
      </w:r>
      <w:r w:rsidR="00F00522">
        <w:rPr>
          <w:noProof/>
        </w:rPr>
        <w:fldChar w:fldCharType="begin"/>
      </w:r>
      <w:r w:rsidR="00923580">
        <w:rPr>
          <w:noProof/>
        </w:rPr>
        <w:instrText xml:space="preserve"> ADDIN EN.CITE &lt;EndNote&gt;&lt;Cite&gt;&lt;Author&gt;Molnar&lt;/Author&gt;&lt;Year&gt;2009&lt;/Year&gt;&lt;RecNum&gt;2159&lt;/RecNum&gt;&lt;Prefix&gt;net of the effect of adverse consequences`; &lt;/Prefix&gt;&lt;DisplayText&gt;(net of the effect of adverse consequences; Molnar et al., 2009)&lt;/DisplayText&gt;&lt;record&gt;&lt;rec-number&gt;2159&lt;/rec-number&gt;&lt;foreign-keys&gt;&lt;key app="EN" db-id="sttprxrp6925duet9e6pf2zo2drwvda5wf02" timestamp="1393684356"&gt;2159&lt;/key&gt;&lt;/foreign-keys&gt;&lt;ref-type name="Journal Article"&gt;17&lt;/ref-type&gt;&lt;contributors&gt;&lt;authors&gt;&lt;author&gt;Danielle S. Molnar&lt;/author&gt;&lt;author&gt;Michael A. Busseri&lt;/author&gt;&lt;author&gt;Colin P. K. Perrier&lt;/author&gt;&lt;author&gt;Stan W. Sadava&lt;/author&gt;&lt;/authors&gt;&lt;/contributors&gt;&lt;titles&gt;&lt;title&gt;A Longitudinal Examination of Alcohol Use and Subjective Well-Being in an Undergraduate Sample&lt;/title&gt;&lt;secondary-title&gt;Journal of Studies on Alcohol and Drugs&lt;/secondary-title&gt;&lt;/titles&gt;&lt;periodical&gt;&lt;full-title&gt;Journal of Studies on Alcohol and Drugs&lt;/full-title&gt;&lt;/periodical&gt;&lt;pages&gt;704-713&lt;/pages&gt;&lt;volume&gt;70&lt;/volume&gt;&lt;number&gt;5&lt;/number&gt;&lt;dates&gt;&lt;year&gt;2009&lt;/year&gt;&lt;/dates&gt;&lt;urls&gt;&lt;related-urls&gt;&lt;url&gt;http://www.jsad.com/jsad/article/A_Longitudinal_Examination_of_Alcohol_Use_and_Subjective_WellBeing_in_an_U/4376.html&lt;/url&gt;&lt;/related-urls&gt;&lt;/urls&gt;&lt;/record&gt;&lt;/Cite&gt;&lt;/EndNote&gt;</w:instrText>
      </w:r>
      <w:r w:rsidR="00F00522">
        <w:rPr>
          <w:noProof/>
        </w:rPr>
        <w:fldChar w:fldCharType="separate"/>
      </w:r>
      <w:r w:rsidR="00923580">
        <w:rPr>
          <w:noProof/>
        </w:rPr>
        <w:t>(net of the effect of adverse consequences; Molnar et al., 2009)</w:t>
      </w:r>
      <w:r w:rsidR="00F00522">
        <w:rPr>
          <w:noProof/>
        </w:rPr>
        <w:fldChar w:fldCharType="end"/>
      </w:r>
      <w:r>
        <w:t xml:space="preserve">; </w:t>
      </w:r>
      <w:r w:rsidRPr="00F27732">
        <w:rPr>
          <w:i/>
        </w:rPr>
        <w:t>lower</w:t>
      </w:r>
      <w:r>
        <w:t xml:space="preserve"> later wellbeing </w:t>
      </w:r>
      <w:r w:rsidR="00A51A08">
        <w:rPr>
          <w:noProof/>
        </w:rPr>
        <w:fldChar w:fldCharType="begin"/>
      </w:r>
      <w:r w:rsidR="00923580">
        <w:rPr>
          <w:noProof/>
        </w:rPr>
        <w:instrText xml:space="preserve"> ADDIN EN.CITE &lt;EndNote&gt;&lt;Cite&gt;&lt;Author&gt;Koivumaa-Honkanen&lt;/Author&gt;&lt;Year&gt;2012&lt;/Year&gt;&lt;RecNum&gt;2182&lt;/RecNum&gt;&lt;Prefix&gt;controlling for genetic factors`; &lt;/Prefix&gt;&lt;DisplayText&gt;(controlling for genetic factors; Koivumaa-Honkanen et al., 2012)&lt;/DisplayText&gt;&lt;record&gt;&lt;rec-number&gt;2182&lt;/rec-number&gt;&lt;foreign-keys&gt;&lt;key app="EN" db-id="sttprxrp6925duet9e6pf2zo2drwvda5wf02" timestamp="1399639206"&gt;2182&lt;/key&gt;&lt;/foreign-keys&gt;&lt;ref-type name="Journal Article"&gt;17&lt;/ref-type&gt;&lt;contributors&gt;&lt;authors&gt;&lt;author&gt;Koivumaa-Honkanen, H.&lt;/author&gt;&lt;author&gt;Kaprio, J.&lt;/author&gt;&lt;author&gt;Korhonen, T.&lt;/author&gt;&lt;author&gt;Honkanen, R.J.&lt;/author&gt;&lt;author&gt;Heikkilä, K.&lt;/author&gt;&lt;author&gt;Koskenvuo, M.&lt;/author&gt;&lt;/authors&gt;&lt;/contributors&gt;&lt;titles&gt;&lt;title&gt;Self-reported Life Satisfaction and Alcohol use: A 15-year follow-up of Healthy Adult Twins&lt;/title&gt;&lt;secondary-title&gt;Alcohol and Alcoholism&lt;/secondary-title&gt;&lt;/titles&gt;&lt;periodical&gt;&lt;full-title&gt;Alcohol and Alcoholism&lt;/full-title&gt;&lt;/periodical&gt;&lt;pages&gt;160-168&lt;/pages&gt;&lt;volume&gt;47&lt;/volume&gt;&lt;number&gt;2&lt;/number&gt;&lt;dates&gt;&lt;year&gt;2012&lt;/year&gt;&lt;pub-dates&gt;&lt;date&gt;March 1, 2012&lt;/date&gt;&lt;/pub-dates&gt;&lt;/dates&gt;&lt;urls&gt;&lt;related-urls&gt;&lt;url&gt;http://alcalc.oxfordjournals.org/content/47/2/160.abstract&lt;/url&gt;&lt;/related-urls&gt;&lt;/urls&gt;&lt;electronic-resource-num&gt;10.1093/alcalc/agr151&lt;/electronic-resource-num&gt;&lt;/record&gt;&lt;/Cite&gt;&lt;/EndNote&gt;</w:instrText>
      </w:r>
      <w:r w:rsidR="00A51A08">
        <w:rPr>
          <w:noProof/>
        </w:rPr>
        <w:fldChar w:fldCharType="separate"/>
      </w:r>
      <w:r w:rsidR="00923580">
        <w:rPr>
          <w:noProof/>
        </w:rPr>
        <w:t>(controlling for genetic factors; Koivumaa-Honkanen et al., 2012)</w:t>
      </w:r>
      <w:r w:rsidR="00A51A08">
        <w:rPr>
          <w:noProof/>
        </w:rPr>
        <w:fldChar w:fldCharType="end"/>
      </w:r>
      <w:r>
        <w:t>; or no effect</w:t>
      </w:r>
      <w:r w:rsidR="00D8031E">
        <w:t xml:space="preserve"> </w:t>
      </w:r>
      <w:r w:rsidR="00F00522">
        <w:fldChar w:fldCharType="begin"/>
      </w:r>
      <w:r w:rsidR="00DF7C6A">
        <w:instrText xml:space="preserve"> ADDIN EN.CITE &lt;EndNote&gt;&lt;Cite&gt;&lt;Author&gt;Bogart&lt;/Author&gt;&lt;Year&gt;2007&lt;/Year&gt;&lt;RecNum&gt;2140&lt;/RecNum&gt;&lt;DisplayText&gt;(Bogart et al., 2007)&lt;/DisplayText&gt;&lt;record&gt;&lt;rec-number&gt;2140&lt;/rec-number&gt;&lt;foreign-keys&gt;&lt;key app="EN" db-id="sttprxrp6925duet9e6pf2zo2drwvda5wf02" timestamp="1390912187"&gt;2140&lt;/key&gt;&lt;/foreign-keys&gt;&lt;ref-type name="Journal Article"&gt;17&lt;/ref-type&gt;&lt;contributors&gt;&lt;authors&gt;&lt;author&gt;Bogart, Laura M&lt;/author&gt;&lt;author&gt;Collins, Rebecca L&lt;/author&gt;&lt;author&gt;Ellickson, Phyllis L&lt;/author&gt;&lt;author&gt;Klein, David J&lt;/author&gt;&lt;/authors&gt;&lt;/contributors&gt;&lt;titles&gt;&lt;title&gt;Are Adolescent Substance Users Less Satisfied with Life as Young Adults and if so, Why?&lt;/title&gt;&lt;secondary-title&gt;Social Indicators Research&lt;/secondary-title&gt;&lt;alt-title&gt;Soc Indic Res&lt;/alt-title&gt;&lt;/titles&gt;&lt;periodical&gt;&lt;full-title&gt;Social Indicators Research&lt;/full-title&gt;&lt;/periodical&gt;&lt;pages&gt;149-169&lt;/pages&gt;&lt;volume&gt;81&lt;/volume&gt;&lt;number&gt;1&lt;/number&gt;&lt;keywords&gt;&lt;keyword&gt;adolescence&lt;/keyword&gt;&lt;keyword&gt;life satisfaction&lt;/keyword&gt;&lt;keyword&gt;substance use&lt;/keyword&gt;&lt;keyword&gt;young adulthood&lt;/keyword&gt;&lt;/keywords&gt;&lt;dates&gt;&lt;year&gt;2007&lt;/year&gt;&lt;pub-dates&gt;&lt;date&gt;2007/03/01&lt;/date&gt;&lt;/pub-dates&gt;&lt;/dates&gt;&lt;publisher&gt;Springer Netherlands&lt;/publisher&gt;&lt;isbn&gt;0303-8300&lt;/isbn&gt;&lt;urls&gt;&lt;related-urls&gt;&lt;url&gt;http://dx.doi.org/10.1007/s11205-006-0019-6&lt;/url&gt;&lt;/related-urls&gt;&lt;/urls&gt;&lt;electronic-resource-num&gt;10.1007/s11205-006-0019-6&lt;/electronic-resource-num&gt;&lt;language&gt;English&lt;/language&gt;&lt;/record&gt;&lt;/Cite&gt;&lt;/EndNote&gt;</w:instrText>
      </w:r>
      <w:r w:rsidR="00F00522">
        <w:fldChar w:fldCharType="separate"/>
      </w:r>
      <w:r w:rsidR="00DF7C6A">
        <w:rPr>
          <w:noProof/>
        </w:rPr>
        <w:t>(Bogart et al., 2007)</w:t>
      </w:r>
      <w:r w:rsidR="00F00522">
        <w:fldChar w:fldCharType="end"/>
      </w:r>
      <w:r>
        <w:t xml:space="preserve">.  However, while </w:t>
      </w:r>
      <w:r>
        <w:lastRenderedPageBreak/>
        <w:t xml:space="preserve">this approach captures slowly-acting effects, it seems unlikely to capture shorter-term pleasures of drinking.  </w:t>
      </w:r>
    </w:p>
    <w:p w14:paraId="58A51145" w14:textId="331FBB65" w:rsidR="00B07D80" w:rsidRDefault="00B07D80" w:rsidP="00504FE6">
      <w:pPr>
        <w:numPr>
          <w:ilvl w:val="0"/>
          <w:numId w:val="3"/>
        </w:numPr>
      </w:pPr>
      <w:r>
        <w:t>The second type of study looks at the immediate association of drinking with wellbeing, but further controls for time-invariant unobserved factors using fixed effects</w:t>
      </w:r>
      <w:r w:rsidR="00AC6DD7">
        <w:t xml:space="preserve"> (‘FE</w:t>
      </w:r>
      <w:r w:rsidR="00A7499F">
        <w:t>’</w:t>
      </w:r>
      <w:r w:rsidR="00AC6DD7">
        <w:t>)</w:t>
      </w:r>
      <w:r>
        <w:t xml:space="preserve"> modelling (see below).  </w:t>
      </w:r>
      <w:r w:rsidRPr="00015E4B">
        <w:t>Only two such studies have been conducted</w:t>
      </w:r>
      <w:r>
        <w:t xml:space="preserve">, both using the Russian Longitudinal Monitoring Survey </w:t>
      </w:r>
      <w:r w:rsidR="00F00522">
        <w:fldChar w:fldCharType="begin">
          <w:fldData xml:space="preserve">PEVuZE5vdGU+PENpdGU+PEF1dGhvcj5HcmFoYW08L0F1dGhvcj48WWVhcj4yMDA0PC9ZZWFyPjxS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</w:fldData>
        </w:fldChar>
      </w:r>
      <w:r w:rsidR="00DF7C6A">
        <w:instrText xml:space="preserve"> ADDIN EN.CITE </w:instrText>
      </w:r>
      <w:r w:rsidR="00DF7C6A">
        <w:fldChar w:fldCharType="begin">
          <w:fldData xml:space="preserve">PEVuZE5vdGU+PENpdGU+PEF1dGhvcj5HcmFoYW08L0F1dGhvcj48WWVhcj4yMDA0PC9ZZWFyPjxS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</w:fldData>
        </w:fldChar>
      </w:r>
      <w:r w:rsidR="00DF7C6A">
        <w:instrText xml:space="preserve"> ADDIN EN.CITE.DATA </w:instrText>
      </w:r>
      <w:r w:rsidR="00DF7C6A">
        <w:fldChar w:fldCharType="end"/>
      </w:r>
      <w:r w:rsidR="00F00522">
        <w:fldChar w:fldCharType="separate"/>
      </w:r>
      <w:r w:rsidR="00DF7C6A">
        <w:rPr>
          <w:noProof/>
        </w:rPr>
        <w:t>(Graham et al., 2004; Massin &amp; Kopp, 2014)</w:t>
      </w:r>
      <w:r w:rsidR="00F00522">
        <w:fldChar w:fldCharType="end"/>
      </w:r>
      <w:r>
        <w:t xml:space="preserve">; </w:t>
      </w:r>
      <w:proofErr w:type="spellStart"/>
      <w:r>
        <w:t>Massin</w:t>
      </w:r>
      <w:proofErr w:type="spellEnd"/>
      <w:r>
        <w:t xml:space="preserve"> &amp; Kopp’s more robust study finds no relationship between alcohol consumption and wellbeing among women, but that heavier drinking men have lower life satisfaction.  </w:t>
      </w:r>
    </w:p>
    <w:p w14:paraId="4F945EF4" w14:textId="6D11F327" w:rsidR="00B07D80" w:rsidRDefault="00B07D80" w:rsidP="00504FE6">
      <w:r>
        <w:t xml:space="preserve">However, </w:t>
      </w:r>
      <w:r w:rsidR="00403234">
        <w:t>t</w:t>
      </w:r>
      <w:r>
        <w:t>here are few longitudinal studies of adults, and even these face challenges of causal inference due to the lengthy lags between waves.  Moreover, we would expect cross-cultural variation in the cultural associations of alcohol and pleasure, but the only FE studies are from Russia.</w:t>
      </w:r>
      <w:r w:rsidRPr="002E4CB7">
        <w:t xml:space="preserve"> </w:t>
      </w:r>
      <w:r>
        <w:t xml:space="preserve"> The </w:t>
      </w:r>
      <w:r w:rsidR="00C6268E">
        <w:t xml:space="preserve">remainder of the paper </w:t>
      </w:r>
      <w:r>
        <w:t xml:space="preserve">therefore presents </w:t>
      </w:r>
      <w:r w:rsidR="00C6268E">
        <w:t xml:space="preserve">two studies using </w:t>
      </w:r>
      <w:r>
        <w:t xml:space="preserve">FE analyses </w:t>
      </w:r>
      <w:r w:rsidR="00C6268E">
        <w:t xml:space="preserve">of </w:t>
      </w:r>
      <w:r>
        <w:t>UK</w:t>
      </w:r>
      <w:r w:rsidR="00C6268E">
        <w:t xml:space="preserve"> data</w:t>
      </w:r>
      <w:r>
        <w:t>, providing longitudinal data on the short-term relationship between alcohol and wellbeing in Britain for the first time.</w:t>
      </w:r>
    </w:p>
    <w:p w14:paraId="0A0B9D25" w14:textId="77777777" w:rsidR="00B07D80" w:rsidRDefault="00B07D80" w:rsidP="002B56D3">
      <w:pPr>
        <w:pStyle w:val="Heading1"/>
      </w:pPr>
      <w:r>
        <w:t>Study 1: Cohort data</w:t>
      </w:r>
    </w:p>
    <w:p w14:paraId="7A985A7F" w14:textId="77777777" w:rsidR="00B07D80" w:rsidRDefault="00B07D80" w:rsidP="000D5565">
      <w:pPr>
        <w:pStyle w:val="Heading2"/>
        <w:spacing w:after="0"/>
      </w:pPr>
      <w:r>
        <w:t>Methods</w:t>
      </w:r>
    </w:p>
    <w:p w14:paraId="7539DB6B" w14:textId="47A39048" w:rsidR="00746AFC" w:rsidRDefault="00746AFC" w:rsidP="000D5565">
      <w:pPr>
        <w:pStyle w:val="Heading3"/>
        <w:spacing w:before="0"/>
      </w:pPr>
      <w:r>
        <w:t>Design</w:t>
      </w:r>
    </w:p>
    <w:p w14:paraId="68E2F019" w14:textId="6E855310" w:rsidR="00746AFC" w:rsidRPr="002B56D3" w:rsidRDefault="007362D9">
      <w:r>
        <w:t>To investigate the association between drinking and wellbeing, the analysis uses FE models</w:t>
      </w:r>
      <w:r w:rsidR="001811DB">
        <w:t xml:space="preserve"> that examine </w:t>
      </w:r>
      <w:r>
        <w:t xml:space="preserve">how far within-person changes in drinking are associated with within-person changes in wellbeing.  The strength of FE models is that they remove unobserved, time-invariant confounding, and as a result have been recommended for studying </w:t>
      </w:r>
      <w:r w:rsidR="00AC6DD7">
        <w:t xml:space="preserve">both </w:t>
      </w:r>
      <w:r>
        <w:t xml:space="preserve">the impacts of alcohol </w:t>
      </w:r>
      <w:r w:rsidR="00F00522">
        <w:fldChar w:fldCharType="begin"/>
      </w:r>
      <w:r w:rsidR="00DF7C6A">
        <w:instrText xml:space="preserve"> ADDIN EN.CITE &lt;EndNote&gt;&lt;Cite&gt;&lt;Author&gt;French&lt;/Author&gt;&lt;Year&gt;2011&lt;/Year&gt;&lt;RecNum&gt;2035&lt;/RecNum&gt;&lt;DisplayText&gt;(French &amp;amp; Popovici, 2011)&lt;/DisplayText&gt;&lt;record&gt;&lt;rec-number&gt;2035&lt;/rec-number&gt;&lt;foreign-keys&gt;&lt;key app="EN" db-id="sttprxrp6925duet9e6pf2zo2drwvda5wf02" timestamp="0"&gt;2035&lt;/key&gt;&lt;/foreign-keys&gt;&lt;ref-type name="Journal Article"&gt;17&lt;/ref-type&gt;&lt;contributors&gt;&lt;authors&gt;&lt;author&gt;French, M. T.&lt;/author&gt;&lt;author&gt;Popovici,Ioana&lt;/author&gt;&lt;/authors&gt;&lt;/contributors&gt;&lt;titles&gt;&lt;title&gt;That instrument is lousy! In search of agreement when using instrumental variables estimation in substance use research&lt;/title&gt;&lt;secondary-title&gt;Health Economics&lt;/secondary-title&gt;&lt;/titles&gt;&lt;periodical&gt;&lt;full-title&gt;Health Economics&lt;/full-title&gt;&lt;/periodical&gt;&lt;pages&gt;127-146&lt;/pages&gt;&lt;volume&gt;20&lt;/volume&gt;&lt;number&gt;2&lt;/number&gt;&lt;dates&gt;&lt;year&gt;2011&lt;/year&gt;&lt;/dates&gt;&lt;urls&gt;&lt;/urls&gt;&lt;electronic-resource-num&gt;DOI: 10.1002/hec.1572&lt;/electronic-resource-num&gt;&lt;/record&gt;&lt;/Cite&gt;&lt;/EndNote&gt;</w:instrText>
      </w:r>
      <w:r w:rsidR="00F00522">
        <w:fldChar w:fldCharType="separate"/>
      </w:r>
      <w:r w:rsidR="00DF7C6A">
        <w:rPr>
          <w:noProof/>
        </w:rPr>
        <w:t>(French &amp; Popovici, 2011)</w:t>
      </w:r>
      <w:r w:rsidR="00F00522">
        <w:fldChar w:fldCharType="end"/>
      </w:r>
      <w:r>
        <w:t xml:space="preserve"> and influences on wellbeing</w:t>
      </w:r>
      <w:r w:rsidR="00F00522">
        <w:t xml:space="preserve"> </w:t>
      </w:r>
      <w:r w:rsidR="00F00522">
        <w:fldChar w:fldCharType="begin"/>
      </w:r>
      <w:r w:rsidR="00DF7C6A">
        <w:instrText xml:space="preserve"> ADDIN EN.CITE &lt;EndNote&gt;&lt;Cite&gt;&lt;Author&gt;Ferrer-i-Carbonell&lt;/Author&gt;&lt;Year&gt;2004&lt;/Year&gt;&lt;RecNum&gt;2161&lt;/RecNum&gt;&lt;DisplayText&gt;(Ferrer-i-Carbonell &amp;amp; Frijters, 2004)&lt;/DisplayText&gt;&lt;record&gt;&lt;rec-number&gt;2161&lt;/rec-number&gt;&lt;foreign-keys&gt;&lt;key app="EN" db-id="sttprxrp6925duet9e6pf2zo2drwvda5wf02" timestamp="1398520272"&gt;2161&lt;/key&gt;&lt;/foreign-keys&gt;&lt;ref-type name="Journal Article"&gt;17&lt;/ref-type&gt;&lt;contributors&gt;&lt;authors&gt;&lt;author&gt;Ferrer-i-Carbonell, A.&lt;/author&gt;&lt;author&gt;Frijters, P&lt;/author&gt;&lt;/authors&gt;&lt;/contributors&gt;&lt;titles&gt;&lt;title&gt;How Important Is Methodology for the Estimates of the Determinants of Happiness?&lt;/title&gt;&lt;secondary-title&gt;The Economic Journal&lt;/secondary-title&gt;&lt;/titles&gt;&lt;periodical&gt;&lt;full-title&gt;The Economic Journal&lt;/full-title&gt;&lt;/periodical&gt;&lt;pages&gt;641-659&lt;/pages&gt;&lt;volume&gt;114&lt;/volume&gt;&lt;number&gt;497&lt;/number&gt;&lt;dates&gt;&lt;year&gt;2004&lt;/year&gt;&lt;/dates&gt;&lt;urls&gt;&lt;/urls&gt;&lt;electronic-resource-num&gt;10.1111/j.1468-0297.2004.00235.x&lt;/electronic-resource-num&gt;&lt;/record&gt;&lt;/Cite&gt;&lt;/EndNote&gt;</w:instrText>
      </w:r>
      <w:r w:rsidR="00F00522">
        <w:fldChar w:fldCharType="separate"/>
      </w:r>
      <w:r w:rsidR="00DF7C6A">
        <w:rPr>
          <w:noProof/>
        </w:rPr>
        <w:t>(Ferrer-i-Carbonell &amp; Frijters, 2004)</w:t>
      </w:r>
      <w:r w:rsidR="00F00522">
        <w:fldChar w:fldCharType="end"/>
      </w:r>
      <w:r>
        <w:t>.  In Study 1, we use FE analyses of a conventional cohort dataset with gaps of several years between waves.</w:t>
      </w:r>
    </w:p>
    <w:p w14:paraId="7331C6E8" w14:textId="65585EB9" w:rsidR="00746AFC" w:rsidRDefault="00746AFC" w:rsidP="000D5565">
      <w:pPr>
        <w:pStyle w:val="Heading3"/>
      </w:pPr>
      <w:r>
        <w:lastRenderedPageBreak/>
        <w:t>Participants</w:t>
      </w:r>
    </w:p>
    <w:p w14:paraId="41D4B3F8" w14:textId="2ABD2534" w:rsidR="00B07D80" w:rsidRDefault="00B07D80" w:rsidP="00504FE6">
      <w:r>
        <w:t>The most suitable British study is the British Cohort Study 1970 (‘BCS70’)</w:t>
      </w:r>
      <w:r w:rsidR="00A51A08">
        <w:t xml:space="preserve">, </w:t>
      </w:r>
      <w:r>
        <w:t>a cohort study based on 17,000 babies born in the UK in a week in 1970, who barring emigration, death, non-contact or non-response, have been followed-up at regular intervals.  For this analysis we focus on three face-to-face waves, 1999-2000 (age 30), 2004 (age 34) and 2012 (age 42), available from the UK Data Service (Study Numbers 5558, 5585 and 7473).</w:t>
      </w:r>
    </w:p>
    <w:p w14:paraId="7AD77331" w14:textId="366B1530" w:rsidR="00746AFC" w:rsidRDefault="00746AFC" w:rsidP="000D5565">
      <w:pPr>
        <w:pStyle w:val="Heading3"/>
      </w:pPr>
      <w:r>
        <w:t>Data analysis</w:t>
      </w:r>
    </w:p>
    <w:p w14:paraId="1809186C" w14:textId="1A1CE5AB" w:rsidR="00B07D80" w:rsidRDefault="007362D9" w:rsidP="00504FE6">
      <w:r>
        <w:t>W</w:t>
      </w:r>
      <w:r w:rsidR="00B07D80">
        <w:t>e assume the underlying model:</w:t>
      </w:r>
    </w:p>
    <w:p w14:paraId="2FFAAD38" w14:textId="77777777" w:rsidR="00B07D80" w:rsidRDefault="00B07D80" w:rsidP="00504FE6">
      <w:r>
        <w:rPr>
          <w:rFonts w:eastAsiaTheme="minorEastAsia"/>
        </w:rPr>
        <w:tab/>
      </w:r>
      <m:oMath>
        <m:r>
          <w:rPr>
            <w:rFonts w:ascii="Cambria Math" w:hAnsi="Cambria Math"/>
          </w:rPr>
          <m:t>L</m:t>
        </m:r>
        <m:sSub>
          <m:sSubPr>
            <m:ctrlPr>
              <w:rPr>
                <w:rFonts w:ascii="Cambria Math" w:hAnsi="Cambria Math"/>
                <w:i/>
              </w:rPr>
            </m:ctrlPr>
          </m:sSubPr>
          <m:e>
            <m:r>
              <w:rPr>
                <w:rFonts w:ascii="Cambria Math" w:hAnsi="Cambria Math"/>
              </w:rPr>
              <m:t>S</m:t>
            </m:r>
          </m:e>
          <m:sub>
            <m:r>
              <w:rPr>
                <w:rFonts w:ascii="Cambria Math" w:hAnsi="Cambria Math"/>
              </w:rPr>
              <m:t>it</m:t>
            </m:r>
          </m:sub>
        </m:sSub>
        <m:r>
          <w:rPr>
            <w:rFonts w:ascii="Cambria Math" w:hAnsi="Cambria Math"/>
          </w:rPr>
          <m:t>=α+</m:t>
        </m:r>
        <m:sSub>
          <m:sSubPr>
            <m:ctrlPr>
              <w:rPr>
                <w:rFonts w:ascii="Cambria Math" w:hAnsi="Cambria Math"/>
                <w:i/>
              </w:rPr>
            </m:ctrlPr>
          </m:sSubPr>
          <m:e>
            <m:r>
              <w:rPr>
                <w:rFonts w:ascii="Cambria Math" w:hAnsi="Cambria Math"/>
              </w:rPr>
              <m:t>β</m:t>
            </m:r>
          </m:e>
          <m:sub>
            <m:r>
              <m:rPr>
                <m:sty m:val="p"/>
              </m:rPr>
              <w:rPr>
                <w:rFonts w:ascii="Cambria Math" w:hAnsi="Cambria Math"/>
              </w:rPr>
              <m:t>Alc</m:t>
            </m:r>
          </m:sub>
        </m:sSub>
        <m:sSub>
          <m:sSubPr>
            <m:ctrlPr>
              <w:rPr>
                <w:rFonts w:ascii="Cambria Math" w:hAnsi="Cambria Math"/>
              </w:rPr>
            </m:ctrlPr>
          </m:sSubPr>
          <m:e>
            <m:r>
              <m:rPr>
                <m:sty m:val="p"/>
              </m:rPr>
              <w:rPr>
                <w:rFonts w:ascii="Cambria Math" w:hAnsi="Cambria Math"/>
              </w:rPr>
              <m:t>ALC</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x</m:t>
            </m:r>
          </m:sub>
        </m:sSub>
        <m:sSubSup>
          <m:sSubSupPr>
            <m:ctrlPr>
              <w:rPr>
                <w:rFonts w:ascii="Cambria Math" w:hAnsi="Cambria Math"/>
                <w:i/>
              </w:rPr>
            </m:ctrlPr>
          </m:sSubSupPr>
          <m:e>
            <m:r>
              <w:rPr>
                <w:rFonts w:ascii="Cambria Math" w:hAnsi="Cambria Math"/>
              </w:rPr>
              <m:t>x</m:t>
            </m:r>
          </m:e>
          <m:sub>
            <m:r>
              <w:rPr>
                <w:rFonts w:ascii="Cambria Math" w:hAnsi="Cambria Math"/>
              </w:rPr>
              <m:t>it</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w:r>
        <w:rPr>
          <w:rFonts w:eastAsiaTheme="minorEastAsia"/>
        </w:rPr>
        <w:t xml:space="preserve"> </w:t>
      </w:r>
      <w:r>
        <w:rPr>
          <w:rFonts w:eastAsiaTheme="minorEastAsia"/>
        </w:rPr>
        <w:tab/>
      </w:r>
      <w:r>
        <w:rPr>
          <w:rFonts w:eastAsiaTheme="minorEastAsia"/>
        </w:rPr>
        <w:tab/>
      </w:r>
      <w:r>
        <w:rPr>
          <w:rFonts w:eastAsiaTheme="minorEastAsia"/>
        </w:rPr>
        <w:tab/>
      </w:r>
      <w:r>
        <w:rPr>
          <w:rFonts w:eastAsiaTheme="minorEastAsia"/>
        </w:rPr>
        <w:tab/>
        <w:t>(1)</w:t>
      </w:r>
    </w:p>
    <w:p w14:paraId="3ED409D9" w14:textId="77777777" w:rsidR="00B07D80" w:rsidRDefault="00B07D80" w:rsidP="00504FE6">
      <w:pPr>
        <w:rPr>
          <w:rFonts w:eastAsiaTheme="minorEastAsia"/>
        </w:rPr>
      </w:pPr>
      <w:proofErr w:type="gramStart"/>
      <w:r>
        <w:t>where</w:t>
      </w:r>
      <w:proofErr w:type="gramEnd"/>
      <w:r>
        <w:t xml:space="preserve"> </w:t>
      </w:r>
      <m:oMath>
        <m:r>
          <w:rPr>
            <w:rFonts w:ascii="Cambria Math" w:hAnsi="Cambria Math"/>
          </w:rPr>
          <m:t>L</m:t>
        </m:r>
        <m:sSub>
          <m:sSubPr>
            <m:ctrlPr>
              <w:rPr>
                <w:rFonts w:ascii="Cambria Math" w:hAnsi="Cambria Math"/>
                <w:i/>
              </w:rPr>
            </m:ctrlPr>
          </m:sSubPr>
          <m:e>
            <m:r>
              <w:rPr>
                <w:rFonts w:ascii="Cambria Math" w:hAnsi="Cambria Math"/>
              </w:rPr>
              <m:t>S</m:t>
            </m:r>
          </m:e>
          <m:sub>
            <m:r>
              <w:rPr>
                <w:rFonts w:ascii="Cambria Math" w:hAnsi="Cambria Math"/>
              </w:rPr>
              <m:t>it</m:t>
            </m:r>
          </m:sub>
        </m:sSub>
      </m:oMath>
      <w:r>
        <w:rPr>
          <w:rFonts w:eastAsiaTheme="minorEastAsia"/>
        </w:rPr>
        <w:t xml:space="preserve"> is life satisfaction for person i at time t, </w:t>
      </w:r>
      <m:oMath>
        <m:r>
          <m:rPr>
            <m:sty m:val="p"/>
          </m:rPr>
          <w:rPr>
            <w:rFonts w:ascii="Cambria Math" w:hAnsi="Cambria Math"/>
          </w:rPr>
          <m:t>Al</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it</m:t>
            </m:r>
          </m:sub>
        </m:sSub>
      </m:oMath>
      <w:r>
        <w:rPr>
          <w:rFonts w:eastAsiaTheme="minorEastAsia"/>
        </w:rPr>
        <w:t xml:space="preserve"> is a measure of alcohol consumption,</w:t>
      </w:r>
      <m:oMath>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it</m:t>
            </m:r>
          </m:sub>
          <m:sup>
            <m:r>
              <w:rPr>
                <w:rFonts w:ascii="Cambria Math" w:hAnsi="Cambria Math"/>
              </w:rPr>
              <m:t>'</m:t>
            </m:r>
          </m:sup>
        </m:sSubSup>
      </m:oMath>
      <w:r>
        <w:rPr>
          <w:rFonts w:eastAsiaTheme="minorEastAsia"/>
        </w:rPr>
        <w:t xml:space="preserve"> is a vector of time-varying control variables, </w:t>
      </w:r>
      <m:oMath>
        <m:sSub>
          <m:sSubPr>
            <m:ctrlPr>
              <w:rPr>
                <w:rFonts w:ascii="Cambria Math" w:hAnsi="Cambria Math"/>
                <w:i/>
              </w:rPr>
            </m:ctrlPr>
          </m:sSubPr>
          <m:e>
            <m:r>
              <w:rPr>
                <w:rFonts w:ascii="Cambria Math" w:hAnsi="Cambria Math"/>
              </w:rPr>
              <m:t>u</m:t>
            </m:r>
          </m:e>
          <m:sub>
            <m:r>
              <w:rPr>
                <w:rFonts w:ascii="Cambria Math" w:hAnsi="Cambria Math"/>
              </w:rPr>
              <m:t>i</m:t>
            </m:r>
          </m:sub>
        </m:sSub>
      </m:oMath>
      <w:r>
        <w:rPr>
          <w:rFonts w:eastAsiaTheme="minorEastAsia"/>
        </w:rPr>
        <w:t xml:space="preserve"> are unobserved individual fixed effects, </w:t>
      </w:r>
      <m:oMath>
        <m:sSub>
          <m:sSubPr>
            <m:ctrlPr>
              <w:rPr>
                <w:rFonts w:ascii="Cambria Math" w:hAnsi="Cambria Math"/>
                <w:i/>
              </w:rPr>
            </m:ctrlPr>
          </m:sSubPr>
          <m:e>
            <m:r>
              <w:rPr>
                <w:rFonts w:ascii="Cambria Math" w:hAnsi="Cambria Math"/>
              </w:rPr>
              <m:t>ε</m:t>
            </m:r>
          </m:e>
          <m:sub>
            <m:r>
              <w:rPr>
                <w:rFonts w:ascii="Cambria Math" w:hAnsi="Cambria Math"/>
              </w:rPr>
              <m:t>it</m:t>
            </m:r>
          </m:sub>
        </m:sSub>
      </m:oMath>
      <w:r>
        <w:rPr>
          <w:rFonts w:eastAsiaTheme="minorEastAsia"/>
        </w:rPr>
        <w:t xml:space="preserve"> is an error term uncorrelated with</w:t>
      </w:r>
      <m:oMath>
        <m:r>
          <w:rPr>
            <w:rFonts w:ascii="Cambria Math" w:eastAsiaTheme="minorEastAsia" w:hAnsi="Cambria Math"/>
          </w:rPr>
          <m:t xml:space="preserve"> </m:t>
        </m:r>
        <m:sSub>
          <m:sSubPr>
            <m:ctrlPr>
              <w:rPr>
                <w:rFonts w:ascii="Cambria Math" w:hAnsi="Cambria Math"/>
              </w:rPr>
            </m:ctrlPr>
          </m:sSubPr>
          <m:e>
            <m:r>
              <m:rPr>
                <m:sty m:val="p"/>
              </m:rPr>
              <w:rPr>
                <w:rFonts w:ascii="Cambria Math" w:hAnsi="Cambria Math"/>
              </w:rPr>
              <m:t>ALC</m:t>
            </m:r>
          </m:e>
          <m:sub>
            <m:r>
              <m:rPr>
                <m:sty m:val="p"/>
              </m:rPr>
              <w:rPr>
                <w:rFonts w:ascii="Cambria Math" w:hAnsi="Cambria Math"/>
              </w:rPr>
              <m:t>it</m:t>
            </m:r>
          </m:sub>
        </m:sSub>
      </m:oMath>
      <w:r>
        <w:rPr>
          <w:rFonts w:eastAsiaTheme="minorEastAsia"/>
        </w:rPr>
        <w:t xml:space="preserve"> or </w:t>
      </w:r>
      <m:oMath>
        <m:sSubSup>
          <m:sSubSupPr>
            <m:ctrlPr>
              <w:rPr>
                <w:rFonts w:ascii="Cambria Math" w:hAnsi="Cambria Math"/>
                <w:i/>
              </w:rPr>
            </m:ctrlPr>
          </m:sSubSupPr>
          <m:e>
            <m:r>
              <w:rPr>
                <w:rFonts w:ascii="Cambria Math" w:hAnsi="Cambria Math"/>
              </w:rPr>
              <m:t>x</m:t>
            </m:r>
          </m:e>
          <m:sub>
            <m:r>
              <w:rPr>
                <w:rFonts w:ascii="Cambria Math" w:hAnsi="Cambria Math"/>
              </w:rPr>
              <m:t>it</m:t>
            </m:r>
          </m:sub>
          <m:sup>
            <m:r>
              <w:rPr>
                <w:rFonts w:ascii="Cambria Math" w:hAnsi="Cambria Math"/>
              </w:rPr>
              <m:t>'</m:t>
            </m:r>
          </m:sup>
        </m:sSubSup>
      </m:oMath>
      <w:r>
        <w:rPr>
          <w:rFonts w:eastAsiaTheme="minorEastAsia"/>
        </w:rPr>
        <w:t xml:space="preserve"> , and </w:t>
      </w:r>
      <m:oMath>
        <m:r>
          <w:rPr>
            <w:rFonts w:ascii="Cambria Math" w:hAnsi="Cambria Math"/>
          </w:rPr>
          <m:t>α</m:t>
        </m:r>
      </m:oMath>
      <w:r>
        <w:rPr>
          <w:rFonts w:eastAsiaTheme="minorEastAsia"/>
        </w:rPr>
        <w:t xml:space="preserve"> and </w:t>
      </w:r>
      <m:oMath>
        <m:r>
          <w:rPr>
            <w:rFonts w:ascii="Cambria Math" w:eastAsiaTheme="minorEastAsia" w:hAnsi="Cambria Math"/>
          </w:rPr>
          <m:t>β</m:t>
        </m:r>
      </m:oMath>
      <w:r>
        <w:rPr>
          <w:rFonts w:eastAsiaTheme="minorEastAsia"/>
        </w:rPr>
        <w:t xml:space="preserve"> are parameters to estimate.  </w:t>
      </w:r>
    </w:p>
    <w:p w14:paraId="678A8EC4" w14:textId="77777777" w:rsidR="00B07D80" w:rsidRDefault="00B07D80" w:rsidP="00504FE6">
      <w:r>
        <w:rPr>
          <w:rFonts w:eastAsiaTheme="minorEastAsia"/>
        </w:rPr>
        <w:t xml:space="preserve">The conventional cross-sectional OLS estimator of </w:t>
      </w:r>
      <m:oMath>
        <m:sSub>
          <m:sSubPr>
            <m:ctrlPr>
              <w:rPr>
                <w:rFonts w:ascii="Cambria Math" w:hAnsi="Cambria Math"/>
                <w:i/>
              </w:rPr>
            </m:ctrlPr>
          </m:sSubPr>
          <m:e>
            <m:r>
              <w:rPr>
                <w:rFonts w:ascii="Cambria Math" w:hAnsi="Cambria Math"/>
              </w:rPr>
              <m:t>β</m:t>
            </m:r>
          </m:e>
          <m:sub>
            <m:r>
              <m:rPr>
                <m:sty m:val="p"/>
              </m:rPr>
              <w:rPr>
                <w:rFonts w:ascii="Cambria Math" w:hAnsi="Cambria Math"/>
              </w:rPr>
              <m:t>Alc</m:t>
            </m:r>
          </m:sub>
        </m:sSub>
      </m:oMath>
      <w:r>
        <w:rPr>
          <w:rFonts w:eastAsiaTheme="minorEastAsia"/>
        </w:rPr>
        <w:t xml:space="preserve"> cannot estimate the unobserved person </w:t>
      </w:r>
      <w:proofErr w:type="gramStart"/>
      <w:r>
        <w:rPr>
          <w:rFonts w:eastAsiaTheme="minorEastAsia"/>
        </w:rPr>
        <w:t xml:space="preserve">effect </w:t>
      </w:r>
      <w:proofErr w:type="gramEnd"/>
      <m:oMath>
        <m:sSub>
          <m:sSubPr>
            <m:ctrlPr>
              <w:rPr>
                <w:rFonts w:ascii="Cambria Math" w:hAnsi="Cambria Math"/>
                <w:i/>
              </w:rPr>
            </m:ctrlPr>
          </m:sSubPr>
          <m:e>
            <m:r>
              <w:rPr>
                <w:rFonts w:ascii="Cambria Math" w:hAnsi="Cambria Math"/>
              </w:rPr>
              <m:t>u</m:t>
            </m:r>
          </m:e>
          <m:sub>
            <m:r>
              <w:rPr>
                <w:rFonts w:ascii="Cambria Math" w:hAnsi="Cambria Math"/>
              </w:rPr>
              <m:t>i</m:t>
            </m:r>
          </m:sub>
        </m:sSub>
      </m:oMath>
      <w:r>
        <w:rPr>
          <w:rFonts w:eastAsiaTheme="minorEastAsia"/>
        </w:rPr>
        <w:t xml:space="preserve">, which results in a bias to the extent that there are stable characteristics of respondents that influence both drinking and life satisfaction but are not observed in </w:t>
      </w:r>
      <m:oMath>
        <m:sSubSup>
          <m:sSubSupPr>
            <m:ctrlPr>
              <w:rPr>
                <w:rFonts w:ascii="Cambria Math" w:hAnsi="Cambria Math"/>
                <w:i/>
              </w:rPr>
            </m:ctrlPr>
          </m:sSubSupPr>
          <m:e>
            <m:r>
              <w:rPr>
                <w:rFonts w:ascii="Cambria Math" w:hAnsi="Cambria Math"/>
              </w:rPr>
              <m:t>X</m:t>
            </m:r>
          </m:e>
          <m:sub>
            <m:r>
              <w:rPr>
                <w:rFonts w:ascii="Cambria Math" w:hAnsi="Cambria Math"/>
              </w:rPr>
              <m:t>it</m:t>
            </m:r>
          </m:sub>
          <m:sup>
            <m:r>
              <w:rPr>
                <w:rFonts w:ascii="Cambria Math" w:hAnsi="Cambria Math"/>
              </w:rPr>
              <m:t>'</m:t>
            </m:r>
          </m:sup>
        </m:sSubSup>
        <m:r>
          <w:rPr>
            <w:rFonts w:ascii="Cambria Math" w:hAnsi="Cambria Math"/>
          </w:rPr>
          <m:t xml:space="preserve"> </m:t>
        </m:r>
      </m:oMath>
      <w:r>
        <w:rPr>
          <w:rFonts w:eastAsiaTheme="minorEastAsia"/>
        </w:rPr>
        <w:t>(e.g. personality traits).  Longitudinal data offers us the potential to overcome this by using the fixed effects estimator, which looks at the within–person differences in each term:</w:t>
      </w:r>
    </w:p>
    <w:p w14:paraId="4993D33D" w14:textId="77777777" w:rsidR="00B07D80" w:rsidRDefault="00B07D80" w:rsidP="00504FE6">
      <w:pPr>
        <w:ind w:firstLine="720"/>
      </w:pPr>
      <w:r>
        <w:rPr>
          <w:rFonts w:eastAsiaTheme="minorEastAsia"/>
        </w:rPr>
        <w:t>(</w:t>
      </w:r>
      <m:oMath>
        <m:r>
          <w:rPr>
            <w:rFonts w:ascii="Cambria Math" w:hAnsi="Cambria Math"/>
          </w:rPr>
          <m:t>L</m:t>
        </m:r>
        <m:sSub>
          <m:sSubPr>
            <m:ctrlPr>
              <w:rPr>
                <w:rFonts w:ascii="Cambria Math" w:hAnsi="Cambria Math"/>
                <w:i/>
              </w:rPr>
            </m:ctrlPr>
          </m:sSubPr>
          <m:e>
            <m:r>
              <w:rPr>
                <w:rFonts w:ascii="Cambria Math" w:hAnsi="Cambria Math"/>
              </w:rPr>
              <m:t>S</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LS</m:t>
                </m:r>
              </m:e>
            </m:acc>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m:rPr>
                <m:sty m:val="p"/>
              </m:rPr>
              <w:rPr>
                <w:rFonts w:ascii="Cambria Math" w:hAnsi="Cambria Math"/>
              </w:rPr>
              <m:t>Alc</m:t>
            </m:r>
          </m:sub>
        </m:sSub>
        <m:sSub>
          <m:sSubPr>
            <m:ctrlPr>
              <w:rPr>
                <w:rFonts w:ascii="Cambria Math" w:hAnsi="Cambria Math"/>
              </w:rPr>
            </m:ctrlPr>
          </m:sSubPr>
          <m:e>
            <m:r>
              <m:rPr>
                <m:sty m:val="p"/>
              </m:rPr>
              <w:rPr>
                <w:rFonts w:ascii="Cambria Math" w:hAnsi="Cambria Math"/>
              </w:rPr>
              <m:t>(ALC</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p"/>
                  </m:rPr>
                  <w:rPr>
                    <w:rFonts w:ascii="Cambria Math" w:hAnsi="Cambria Math"/>
                  </w:rPr>
                  <m:t>ALC</m:t>
                </m:r>
              </m:e>
            </m:acc>
          </m:e>
          <m:sub>
            <m:r>
              <w:rPr>
                <w:rFonts w:ascii="Cambria Math" w:hAnsi="Cambria Math"/>
              </w:rPr>
              <m:t>i</m:t>
            </m:r>
          </m:sub>
        </m:sSub>
        <m:r>
          <w:rPr>
            <w:rFonts w:ascii="Cambria Math" w:hAnsi="Cambria Math"/>
          </w:rPr>
          <m:t>) +</m:t>
        </m:r>
        <m:sSub>
          <m:sSubPr>
            <m:ctrlPr>
              <w:rPr>
                <w:rFonts w:ascii="Cambria Math" w:hAnsi="Cambria Math"/>
                <w:i/>
              </w:rPr>
            </m:ctrlPr>
          </m:sSubPr>
          <m:e>
            <m:r>
              <w:rPr>
                <w:rFonts w:ascii="Cambria Math" w:hAnsi="Cambria Math"/>
              </w:rPr>
              <m:t>β</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ε</m:t>
                </m:r>
              </m:e>
            </m:acc>
          </m:e>
          <m:sub>
            <m:r>
              <w:rPr>
                <w:rFonts w:ascii="Cambria Math" w:hAnsi="Cambria Math"/>
              </w:rPr>
              <m:t>i</m:t>
            </m:r>
          </m:sub>
        </m:sSub>
        <m:r>
          <w:rPr>
            <w:rFonts w:ascii="Cambria Math" w:hAnsi="Cambria Math"/>
          </w:rPr>
          <m:t>)</m:t>
        </m:r>
      </m:oMath>
      <w:r>
        <w:rPr>
          <w:rFonts w:eastAsiaTheme="minorEastAsia"/>
        </w:rPr>
        <w:tab/>
        <w:t xml:space="preserve"> </w:t>
      </w:r>
      <w:r>
        <w:rPr>
          <w:rFonts w:eastAsiaTheme="minorEastAsia"/>
        </w:rPr>
        <w:tab/>
        <w:t xml:space="preserve">(2) </w:t>
      </w:r>
    </w:p>
    <w:p w14:paraId="471BA36D" w14:textId="6CA87F74" w:rsidR="00B07D80" w:rsidRDefault="00B07D80" w:rsidP="00504FE6">
      <w:proofErr w:type="gramStart"/>
      <w:r>
        <w:t>where</w:t>
      </w:r>
      <w:proofErr w:type="gramEnd"/>
      <w: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LS</m:t>
                </m:r>
              </m:e>
            </m:acc>
          </m:e>
          <m:sub>
            <m:r>
              <w:rPr>
                <w:rFonts w:ascii="Cambria Math" w:hAnsi="Cambria Math"/>
              </w:rPr>
              <m:t>i</m:t>
            </m:r>
          </m:sub>
        </m:sSub>
      </m:oMath>
      <w:r>
        <w:rPr>
          <w:rFonts w:eastAsiaTheme="minorEastAsia"/>
        </w:rPr>
        <w:t xml:space="preserve"> is the within-person average of life satisfaction, </w:t>
      </w:r>
      <m:oMath>
        <m:sSub>
          <m:sSubPr>
            <m:ctrlPr>
              <w:rPr>
                <w:rFonts w:ascii="Cambria Math" w:hAnsi="Cambria Math"/>
                <w:i/>
              </w:rPr>
            </m:ctrlPr>
          </m:sSubPr>
          <m:e>
            <m:acc>
              <m:accPr>
                <m:chr m:val="̅"/>
                <m:ctrlPr>
                  <w:rPr>
                    <w:rFonts w:ascii="Cambria Math" w:hAnsi="Cambria Math"/>
                    <w:i/>
                  </w:rPr>
                </m:ctrlPr>
              </m:accPr>
              <m:e>
                <m:r>
                  <m:rPr>
                    <m:sty m:val="p"/>
                  </m:rPr>
                  <w:rPr>
                    <w:rFonts w:ascii="Cambria Math" w:hAnsi="Cambria Math"/>
                  </w:rPr>
                  <m:t>ALC</m:t>
                </m:r>
              </m:e>
            </m:acc>
          </m:e>
          <m:sub>
            <m:r>
              <w:rPr>
                <w:rFonts w:ascii="Cambria Math" w:hAnsi="Cambria Math"/>
              </w:rPr>
              <m:t>i</m:t>
            </m:r>
          </m:sub>
        </m:sSub>
      </m:oMath>
      <w:r>
        <w:rPr>
          <w:rFonts w:eastAsiaTheme="minorEastAsia"/>
        </w:rPr>
        <w:t xml:space="preserve"> is the within-person average of alcohol consumption, and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x</m:t>
                </m:r>
              </m:e>
            </m:acc>
          </m:e>
          <m:sub>
            <m:r>
              <w:rPr>
                <w:rFonts w:ascii="Cambria Math" w:hAnsi="Cambria Math"/>
              </w:rPr>
              <m:t>i</m:t>
            </m:r>
          </m:sub>
          <m:sup>
            <m:r>
              <w:rPr>
                <w:rFonts w:ascii="Cambria Math" w:hAnsi="Cambria Math"/>
              </w:rPr>
              <m:t>'</m:t>
            </m:r>
          </m:sup>
        </m:sSubSup>
      </m:oMath>
      <w:r>
        <w:rPr>
          <w:rFonts w:eastAsiaTheme="minorEastAsia"/>
        </w:rPr>
        <w:t xml:space="preserve"> is the within-person averages of each of a vector of control variables.  The time-invariant term drops out of equation (2), with </w:t>
      </w:r>
      <m:oMath>
        <m:sSub>
          <m:sSubPr>
            <m:ctrlPr>
              <w:rPr>
                <w:rFonts w:ascii="Cambria Math" w:hAnsi="Cambria Math"/>
                <w:i/>
              </w:rPr>
            </m:ctrlPr>
          </m:sSubPr>
          <m:e>
            <m:r>
              <w:rPr>
                <w:rFonts w:ascii="Cambria Math" w:hAnsi="Cambria Math"/>
              </w:rPr>
              <m:t>β</m:t>
            </m:r>
          </m:e>
          <m:sub>
            <m:r>
              <m:rPr>
                <m:sty m:val="p"/>
              </m:rPr>
              <w:rPr>
                <w:rFonts w:ascii="Cambria Math" w:hAnsi="Cambria Math"/>
              </w:rPr>
              <m:t>Alc</m:t>
            </m:r>
          </m:sub>
        </m:sSub>
      </m:oMath>
      <w:r>
        <w:rPr>
          <w:rFonts w:eastAsiaTheme="minorEastAsia"/>
        </w:rPr>
        <w:t xml:space="preserve"> therefore being unaffected by any unobserved, stable individual characteristics.  </w:t>
      </w:r>
      <w:r>
        <w:t xml:space="preserve">Given that time-varying confounding is still possible, however, the analysis below also controls for a number of time-varying likely influences on wellbeing.  </w:t>
      </w:r>
      <w:r w:rsidR="007362D9">
        <w:t xml:space="preserve">All analyses were conducted using Stata version 12 using the command XTREG. </w:t>
      </w:r>
    </w:p>
    <w:p w14:paraId="3C293E5E" w14:textId="77777777" w:rsidR="00746AFC" w:rsidRDefault="00746AFC" w:rsidP="00746AFC">
      <w:pPr>
        <w:pStyle w:val="Heading3"/>
      </w:pPr>
      <w:r>
        <w:lastRenderedPageBreak/>
        <w:t>Measures</w:t>
      </w:r>
    </w:p>
    <w:p w14:paraId="0A596564" w14:textId="0BD08A79" w:rsidR="00B07D80" w:rsidRDefault="00B07D80" w:rsidP="00504FE6">
      <w:r>
        <w:t xml:space="preserve">Life satisfaction is obtained via self-completion using the question </w:t>
      </w:r>
      <w:r w:rsidRPr="00A30F85">
        <w:rPr>
          <w:i/>
        </w:rPr>
        <w:t xml:space="preserve">“Here is a scale from 0-10 where '0' means that you are completely dissatisfied and '10' means that you are completely satisfied. Please enter the number which corresponds with how satisfied or dissatisfied you are about the way </w:t>
      </w:r>
      <w:proofErr w:type="spellStart"/>
      <w:r w:rsidRPr="00A30F85">
        <w:rPr>
          <w:i/>
        </w:rPr>
        <w:t>you</w:t>
      </w:r>
      <w:proofErr w:type="spellEnd"/>
      <w:r w:rsidRPr="00A30F85">
        <w:rPr>
          <w:i/>
        </w:rPr>
        <w:t xml:space="preserve"> life has turned out so far.”</w:t>
      </w:r>
      <w:r>
        <w:rPr>
          <w:i/>
        </w:rPr>
        <w:t xml:space="preserve">  </w:t>
      </w:r>
      <w:r w:rsidR="002019E6">
        <w:t>Some e</w:t>
      </w:r>
      <w:r>
        <w:t xml:space="preserve">conomists have argued that such measures are </w:t>
      </w:r>
      <w:r w:rsidR="002019E6">
        <w:t xml:space="preserve">the best available </w:t>
      </w:r>
      <w:r>
        <w:t>proxy for ‘utility’</w:t>
      </w:r>
      <w:r w:rsidR="00F00522">
        <w:t xml:space="preserve"> </w:t>
      </w:r>
      <w:r w:rsidR="00F00522">
        <w:fldChar w:fldCharType="begin"/>
      </w:r>
      <w:r w:rsidR="00DF7C6A">
        <w:instrText xml:space="preserve"> ADDIN EN.CITE &lt;EndNote&gt;&lt;Cite&gt;&lt;Author&gt;Fujiwara&lt;/Author&gt;&lt;Year&gt;2011&lt;/Year&gt;&lt;RecNum&gt;2046&lt;/RecNum&gt;&lt;DisplayText&gt;(Fujiwara &amp;amp; Campbell, 2011)&lt;/DisplayText&gt;&lt;record&gt;&lt;rec-number&gt;2046&lt;/rec-number&gt;&lt;foreign-keys&gt;&lt;key app="EN" db-id="sttprxrp6925duet9e6pf2zo2drwvda5wf02" timestamp="1370018139"&gt;2046&lt;/key&gt;&lt;/foreign-keys&gt;&lt;ref-type name="Report"&gt;27&lt;/ref-type&gt;&lt;contributors&gt;&lt;authors&gt;&lt;author&gt;Fujiwara,Daniel&lt;/author&gt;&lt;author&gt;Campbell, Ross&lt;/author&gt;&lt;/authors&gt;&lt;/contributors&gt;&lt;titles&gt;&lt;title&gt;Valuation Techniques for Social Cost-Benefit Analysis: Stated Preference, Revealed Preference and Subjective Well-Being Approaches. A Discussion of the Current Issues&lt;/title&gt;&lt;/titles&gt;&lt;dates&gt;&lt;year&gt;2011&lt;/year&gt;&lt;/dates&gt;&lt;pub-location&gt;London&lt;/pub-location&gt;&lt;publisher&gt;HM Treasury and Department for Work and Pensions&lt;/publisher&gt;&lt;urls&gt;&lt;related-urls&gt;&lt;url&gt;http://www.hm-treasury.gov.uk/d/green_book_valuationtechniques_250711.pdf&lt;/url&gt;&lt;/related-urls&gt;&lt;/urls&gt;&lt;/record&gt;&lt;/Cite&gt;&lt;/EndNote&gt;</w:instrText>
      </w:r>
      <w:r w:rsidR="00F00522">
        <w:fldChar w:fldCharType="separate"/>
      </w:r>
      <w:r w:rsidR="00DF7C6A">
        <w:rPr>
          <w:noProof/>
        </w:rPr>
        <w:t>(Fujiwara &amp; Campbell, 2011)</w:t>
      </w:r>
      <w:r w:rsidR="00F00522">
        <w:fldChar w:fldCharType="end"/>
      </w:r>
      <w:r>
        <w:t xml:space="preserve">, and we take this to be an adequate measure of wellbeing.  </w:t>
      </w:r>
      <w:r w:rsidRPr="00632E39">
        <w:t>Following</w:t>
      </w:r>
      <w:r>
        <w:t xml:space="preserve"> standard practice, this is treated as a continuous rather than ordinal outcome variable</w:t>
      </w:r>
      <w:r w:rsidR="00F00522">
        <w:t xml:space="preserve"> </w:t>
      </w:r>
      <w:r w:rsidR="00F00522">
        <w:fldChar w:fldCharType="begin"/>
      </w:r>
      <w:r w:rsidR="00DF7C6A">
        <w:instrText xml:space="preserve"> ADDIN EN.CITE &lt;EndNote&gt;&lt;Cite&gt;&lt;Author&gt;Ferrer-i-Carbonell&lt;/Author&gt;&lt;Year&gt;2004&lt;/Year&gt;&lt;RecNum&gt;2161&lt;/RecNum&gt;&lt;DisplayText&gt;(Ferrer-i-Carbonell &amp;amp; Frijters, 2004)&lt;/DisplayText&gt;&lt;record&gt;&lt;rec-number&gt;2161&lt;/rec-number&gt;&lt;foreign-keys&gt;&lt;key app="EN" db-id="sttprxrp6925duet9e6pf2zo2drwvda5wf02" timestamp="1398520272"&gt;2161&lt;/key&gt;&lt;/foreign-keys&gt;&lt;ref-type name="Journal Article"&gt;17&lt;/ref-type&gt;&lt;contributors&gt;&lt;authors&gt;&lt;author&gt;Ferrer-i-Carbonell, A.&lt;/author&gt;&lt;author&gt;Frijters, P&lt;/author&gt;&lt;/authors&gt;&lt;/contributors&gt;&lt;titles&gt;&lt;title&gt;How Important Is Methodology for the Estimates of the Determinants of Happiness?&lt;/title&gt;&lt;secondary-title&gt;The Economic Journal&lt;/secondary-title&gt;&lt;/titles&gt;&lt;periodical&gt;&lt;full-title&gt;The Economic Journal&lt;/full-title&gt;&lt;/periodical&gt;&lt;pages&gt;641-659&lt;/pages&gt;&lt;volume&gt;114&lt;/volume&gt;&lt;number&gt;497&lt;/number&gt;&lt;dates&gt;&lt;year&gt;2004&lt;/year&gt;&lt;/dates&gt;&lt;urls&gt;&lt;/urls&gt;&lt;electronic-resource-num&gt;10.1111/j.1468-0297.2004.00235.x&lt;/electronic-resource-num&gt;&lt;/record&gt;&lt;/Cite&gt;&lt;/EndNote&gt;</w:instrText>
      </w:r>
      <w:r w:rsidR="00F00522">
        <w:fldChar w:fldCharType="separate"/>
      </w:r>
      <w:r w:rsidR="00DF7C6A">
        <w:rPr>
          <w:noProof/>
        </w:rPr>
        <w:t>(Ferrer-i-Carbonell &amp; Frijters, 2004)</w:t>
      </w:r>
      <w:r w:rsidR="00F00522">
        <w:fldChar w:fldCharType="end"/>
      </w:r>
      <w:r>
        <w:t>.</w:t>
      </w:r>
    </w:p>
    <w:p w14:paraId="22936A2C" w14:textId="2490536D" w:rsidR="00B07D80" w:rsidRPr="00BC5667" w:rsidRDefault="00B07D80" w:rsidP="00504FE6">
      <w:pPr>
        <w:rPr>
          <w:b/>
        </w:rPr>
      </w:pPr>
      <w:r>
        <w:t xml:space="preserve">Drinking is measured through </w:t>
      </w:r>
      <w:r w:rsidR="002019E6">
        <w:t>the question</w:t>
      </w:r>
      <w:r>
        <w:t xml:space="preserve">, </w:t>
      </w:r>
      <w:r w:rsidRPr="003A047C">
        <w:rPr>
          <w:i/>
        </w:rPr>
        <w:t>"In the last seven days, that is not counting</w:t>
      </w:r>
      <w:r>
        <w:rPr>
          <w:i/>
        </w:rPr>
        <w:t xml:space="preserve"> today but starting from last [</w:t>
      </w:r>
      <w:r w:rsidRPr="003A047C">
        <w:rPr>
          <w:i/>
        </w:rPr>
        <w:t>day]</w:t>
      </w:r>
      <w:r>
        <w:rPr>
          <w:i/>
        </w:rPr>
        <w:t>,</w:t>
      </w:r>
      <w:r w:rsidRPr="003A047C">
        <w:rPr>
          <w:i/>
        </w:rPr>
        <w:t xml:space="preserve"> how much [</w:t>
      </w:r>
      <w:r>
        <w:rPr>
          <w:i/>
        </w:rPr>
        <w:t>d</w:t>
      </w:r>
      <w:r w:rsidRPr="003A047C">
        <w:rPr>
          <w:i/>
        </w:rPr>
        <w:t>rink] have you had?</w:t>
      </w:r>
      <w:proofErr w:type="gramStart"/>
      <w:r w:rsidRPr="003A047C">
        <w:rPr>
          <w:i/>
        </w:rPr>
        <w:t>"</w:t>
      </w:r>
      <w:r>
        <w:t xml:space="preserve"> </w:t>
      </w:r>
      <w:r w:rsidR="005709EF">
        <w:t>,</w:t>
      </w:r>
      <w:proofErr w:type="gramEnd"/>
      <w:r w:rsidR="005709EF">
        <w:t xml:space="preserve"> </w:t>
      </w:r>
      <w:r w:rsidR="002019E6">
        <w:t xml:space="preserve">repeated </w:t>
      </w:r>
      <w:r>
        <w:t>for beer, wine, spirit</w:t>
      </w:r>
      <w:r w:rsidR="005709EF">
        <w:t>s, fortified wines and alcopops</w:t>
      </w:r>
      <w:r>
        <w:t xml:space="preserve">.  Our main analyses use a consistent conversion of drinks into units of </w:t>
      </w:r>
      <w:proofErr w:type="gramStart"/>
      <w:r>
        <w:t>alcohol,</w:t>
      </w:r>
      <w:proofErr w:type="gramEnd"/>
      <w:r>
        <w:t xml:space="preserve"> while a sensitivity analysis uses a changing unit conversion</w:t>
      </w:r>
      <w:r w:rsidR="005526F9">
        <w:t xml:space="preserve"> over time</w:t>
      </w:r>
      <w:r w:rsidR="00D56019">
        <w:t xml:space="preserve"> to account for changes in drink size and strength (see Web Appendix S1)</w:t>
      </w:r>
      <w:r>
        <w:t xml:space="preserve">.  Main analyses use </w:t>
      </w:r>
      <w:r w:rsidR="002019E6">
        <w:t>categori</w:t>
      </w:r>
      <w:r w:rsidR="005526F9">
        <w:t xml:space="preserve">es of </w:t>
      </w:r>
      <w:r w:rsidR="002019E6">
        <w:t xml:space="preserve"> </w:t>
      </w:r>
      <w:r w:rsidR="005526F9">
        <w:t xml:space="preserve">past-week </w:t>
      </w:r>
      <w:r>
        <w:t xml:space="preserve">alcohol consumption </w:t>
      </w:r>
      <w:r w:rsidR="00B21C78" w:rsidRPr="00B21C78">
        <w:fldChar w:fldCharType="begin"/>
      </w:r>
      <w:r w:rsidR="00B21C78">
        <w:instrText xml:space="preserve"> ADDIN EN.CITE &lt;EndNote&gt;&lt;Cite&gt;&lt;Author&gt;Purshouse&lt;/Author&gt;&lt;Year&gt;2009&lt;/Year&gt;&lt;RecNum&gt;2163&lt;/RecNum&gt;&lt;Prefix&gt;following the same gender-specific categories as &lt;/Prefix&gt;&lt;DisplayText&gt;(following the same gender-specific categories as Purshouse et al., 2009)&lt;/DisplayText&gt;&lt;record&gt;&lt;rec-number&gt;2163&lt;/rec-number&gt;&lt;foreign-keys&gt;&lt;key app="EN" db-id="sttprxrp6925duet9e6pf2zo2drwvda5wf02" timestamp="1399290455"&gt;2163&lt;/key&gt;&lt;/foreign-keys&gt;&lt;ref-type name="Report"&gt;27&lt;/ref-type&gt;&lt;contributors&gt;&lt;authors&gt;&lt;author&gt;Robin Purshouse&lt;/author&gt;&lt;author&gt;Alan Brennan&lt;/author&gt;&lt;author&gt;Nick Latimer&lt;/author&gt;&lt;author&gt;Yang Meng&lt;/author&gt;&lt;author&gt;Rachid Rafia&lt;/author&gt;&lt;author&gt;Rachel Jackson&lt;/author&gt;&lt;author&gt;Petra Meier&lt;/author&gt;&lt;/authors&gt;&lt;/contributors&gt;&lt;titles&gt;&lt;title&gt;Modelling to assess the effectiveness and cost-effectiveness of public health related strategies and interventions to reduce alcohol attributable harm in England using the Sheffield Alcohol Policy Model version 2.0&lt;/title&gt;&lt;/titles&gt;&lt;dates&gt;&lt;year&gt;2009&lt;/year&gt;&lt;/dates&gt;&lt;pub-location&gt;Sheffield&lt;/pub-location&gt;&lt;publisher&gt;Report to the NICE Public Health Programme Development Group&lt;/publisher&gt;&lt;urls&gt;&lt;/urls&gt;&lt;/record&gt;&lt;/Cite&gt;&lt;/EndNote&gt;</w:instrText>
      </w:r>
      <w:r w:rsidR="00B21C78" w:rsidRPr="00B21C78">
        <w:fldChar w:fldCharType="separate"/>
      </w:r>
      <w:r w:rsidR="00B21C78">
        <w:rPr>
          <w:noProof/>
        </w:rPr>
        <w:t>(following the same gender-specific categories as Purshouse et al., 2009)</w:t>
      </w:r>
      <w:r w:rsidR="00B21C78" w:rsidRPr="00B21C78">
        <w:fldChar w:fldCharType="end"/>
      </w:r>
      <w:r w:rsidR="00B21C78" w:rsidRPr="00B21C78">
        <w:t xml:space="preserve"> </w:t>
      </w:r>
      <w:r>
        <w:t xml:space="preserve">alongside a dummy term for </w:t>
      </w:r>
      <w:r w:rsidR="005526F9">
        <w:t xml:space="preserve">longer-term </w:t>
      </w:r>
      <w:r>
        <w:t>non-drinkers</w:t>
      </w:r>
      <w:r w:rsidR="005526F9">
        <w:t xml:space="preserve"> (</w:t>
      </w:r>
      <w:r w:rsidR="001811DB">
        <w:t xml:space="preserve">those </w:t>
      </w:r>
      <w:r w:rsidR="005526F9">
        <w:t>who say they never drink)</w:t>
      </w:r>
      <w:r>
        <w:t xml:space="preserve">; sensitivity analyses </w:t>
      </w:r>
      <w:r w:rsidR="001811DB">
        <w:t xml:space="preserve">also variously </w:t>
      </w:r>
      <w:r w:rsidR="002019E6">
        <w:t>use quadratic drinking terms</w:t>
      </w:r>
      <w:r w:rsidR="001811DB">
        <w:t xml:space="preserve">, </w:t>
      </w:r>
      <w:r>
        <w:t>drinking frequency and alcohol problems (</w:t>
      </w:r>
      <w:r w:rsidR="00554B21">
        <w:t xml:space="preserve">the </w:t>
      </w:r>
      <w:r>
        <w:t>CAGE</w:t>
      </w:r>
      <w:r w:rsidR="00554B21">
        <w:t xml:space="preserve"> scale, ‘CAGE’ referring to the questions used in this screening questionnaire; see Web Appendix</w:t>
      </w:r>
      <w:r>
        <w:t>)</w:t>
      </w:r>
      <w:r w:rsidR="005526F9">
        <w:t xml:space="preserve">. Further details </w:t>
      </w:r>
      <w:r w:rsidR="001811DB">
        <w:t xml:space="preserve">of </w:t>
      </w:r>
      <w:r w:rsidR="00923580">
        <w:t xml:space="preserve">these </w:t>
      </w:r>
      <w:r w:rsidR="005526F9">
        <w:t xml:space="preserve">alcohol variables are </w:t>
      </w:r>
      <w:r w:rsidR="001811DB">
        <w:t xml:space="preserve">given </w:t>
      </w:r>
      <w:r>
        <w:t xml:space="preserve">in </w:t>
      </w:r>
      <w:r w:rsidRPr="00076FDD">
        <w:t>Web Appendix S1</w:t>
      </w:r>
      <w:r>
        <w:t>.</w:t>
      </w:r>
    </w:p>
    <w:p w14:paraId="0C5CE058" w14:textId="18DF3C49" w:rsidR="00B07D80" w:rsidRPr="00BC5667" w:rsidRDefault="00E65B66" w:rsidP="00403234">
      <w:pPr>
        <w:rPr>
          <w:b/>
        </w:rPr>
      </w:pPr>
      <w:r>
        <w:t>T</w:t>
      </w:r>
      <w:r w:rsidR="00B07D80">
        <w:t xml:space="preserve">he analysis further controls for a number of time-varying factors that influence wellbeing </w:t>
      </w:r>
      <w:r w:rsidR="00F00522">
        <w:fldChar w:fldCharType="begin"/>
      </w:r>
      <w:r w:rsidR="00DF7C6A">
        <w:instrText xml:space="preserve"> ADDIN EN.CITE &lt;EndNote&gt;&lt;Cite&gt;&lt;Author&gt;Fujiwara&lt;/Author&gt;&lt;Year&gt;2011&lt;/Year&gt;&lt;RecNum&gt;2046&lt;/RecNum&gt;&lt;DisplayText&gt;(Fujiwara &amp;amp; Campbell, 2011)&lt;/DisplayText&gt;&lt;record&gt;&lt;rec-number&gt;2046&lt;/rec-number&gt;&lt;foreign-keys&gt;&lt;key app="EN" db-id="sttprxrp6925duet9e6pf2zo2drwvda5wf02" timestamp="1370018139"&gt;2046&lt;/key&gt;&lt;/foreign-keys&gt;&lt;ref-type name="Report"&gt;27&lt;/ref-type&gt;&lt;contributors&gt;&lt;authors&gt;&lt;author&gt;Fujiwara,Daniel&lt;/author&gt;&lt;author&gt;Campbell, Ross&lt;/author&gt;&lt;/authors&gt;&lt;/contributors&gt;&lt;titles&gt;&lt;title&gt;Valuation Techniques for Social Cost-Benefit Analysis: Stated Preference, Revealed Preference and Subjective Well-Being Approaches. A Discussion of the Current Issues&lt;/title&gt;&lt;/titles&gt;&lt;dates&gt;&lt;year&gt;2011&lt;/year&gt;&lt;/dates&gt;&lt;pub-location&gt;London&lt;/pub-location&gt;&lt;publisher&gt;HM Treasury and Department for Work and Pensions&lt;/publisher&gt;&lt;urls&gt;&lt;related-urls&gt;&lt;url&gt;http://www.hm-treasury.gov.uk/d/green_book_valuationtechniques_250711.pdf&lt;/url&gt;&lt;/related-urls&gt;&lt;/urls&gt;&lt;/record&gt;&lt;/Cite&gt;&lt;/EndNote&gt;</w:instrText>
      </w:r>
      <w:r w:rsidR="00F00522">
        <w:fldChar w:fldCharType="separate"/>
      </w:r>
      <w:r w:rsidR="00DF7C6A">
        <w:rPr>
          <w:noProof/>
        </w:rPr>
        <w:t>(Fujiwara &amp; Campbell, 2011)</w:t>
      </w:r>
      <w:r w:rsidR="00F00522">
        <w:fldChar w:fldCharType="end"/>
      </w:r>
      <w:r>
        <w:t xml:space="preserve">, including </w:t>
      </w:r>
      <w:r w:rsidR="00634DF1">
        <w:t>marital</w:t>
      </w:r>
      <w:r w:rsidR="00B07D80">
        <w:t xml:space="preserve"> status, children, economic status, travel-to-work time, </w:t>
      </w:r>
      <w:r w:rsidR="00A51A08">
        <w:t xml:space="preserve">work </w:t>
      </w:r>
      <w:r w:rsidR="00B07D80">
        <w:t>hours, longstanding illness, tenure, religiosity, income, smoking, pregnancy</w:t>
      </w:r>
      <w:r w:rsidR="006111DD">
        <w:t xml:space="preserve">, and </w:t>
      </w:r>
      <w:r w:rsidR="00A7499F">
        <w:t xml:space="preserve">survey </w:t>
      </w:r>
      <w:r w:rsidR="006111DD">
        <w:t>wave</w:t>
      </w:r>
      <w:r w:rsidR="00A51A08">
        <w:t xml:space="preserve">; derivation/descriptive statistics are given </w:t>
      </w:r>
      <w:r w:rsidR="00A51A08" w:rsidRPr="0075004A">
        <w:t xml:space="preserve">in </w:t>
      </w:r>
      <w:r w:rsidR="00A51A08" w:rsidRPr="00076FDD">
        <w:t>Web Appendix S1</w:t>
      </w:r>
      <w:r w:rsidR="00B07D80">
        <w:t xml:space="preserve">.  The resulting estimates are therefore net of any impact of drinking on longstanding illness or smoking.  </w:t>
      </w:r>
    </w:p>
    <w:p w14:paraId="621758F2" w14:textId="77777777" w:rsidR="00B07D80" w:rsidRDefault="00B07D80" w:rsidP="000D5565">
      <w:pPr>
        <w:pStyle w:val="Heading2"/>
      </w:pPr>
      <w:r>
        <w:lastRenderedPageBreak/>
        <w:t>Results</w:t>
      </w:r>
    </w:p>
    <w:p w14:paraId="34BC38F8" w14:textId="5E6F5ADE" w:rsidR="00B07D80" w:rsidRDefault="00B07D80" w:rsidP="00504FE6">
      <w:r>
        <w:t xml:space="preserve">The results are shown in </w:t>
      </w:r>
      <w:r w:rsidR="00D77C8F">
        <w:t xml:space="preserve">Table 1 </w:t>
      </w:r>
      <w:r>
        <w:t xml:space="preserve">below.  Looking first at the OLS results </w:t>
      </w:r>
      <w:r w:rsidR="00E65B66">
        <w:t>w</w:t>
      </w:r>
      <w:r>
        <w:t>ithout adjustment</w:t>
      </w:r>
      <w:r w:rsidR="00E65B66">
        <w:t xml:space="preserve"> for controls (Column 2)</w:t>
      </w:r>
      <w:r>
        <w:t xml:space="preserve">, life satisfaction peaks among light drinkers, where it is 0.29 points (p&lt;0.001) greater than among </w:t>
      </w:r>
      <w:r w:rsidR="00634DF1">
        <w:t xml:space="preserve">non-abstainers </w:t>
      </w:r>
      <w:r>
        <w:t>who drank nothing in the past week.  With adjustment</w:t>
      </w:r>
      <w:r w:rsidR="00E65B66">
        <w:t xml:space="preserve"> (Column 3)</w:t>
      </w:r>
      <w:r>
        <w:t>, life satisfaction peaks among heavier drinkers, when it is 0.14 points (p=0.02) greater than zero-drinkers.  In both cases, however, life satisfaction in the heaviest drinking group drops markedly.</w:t>
      </w:r>
    </w:p>
    <w:p w14:paraId="62EDC4DE" w14:textId="52FD976F" w:rsidR="001E0D91" w:rsidRDefault="00B07D80" w:rsidP="00504FE6">
      <w:r>
        <w:t xml:space="preserve">When we control for time-invariant unobserved characteristics, however, the results </w:t>
      </w:r>
      <w:r w:rsidR="00923580">
        <w:t>change</w:t>
      </w:r>
      <w:r>
        <w:t>.  In the unadjusted FE model, increases in drinking beyond 1 unit/</w:t>
      </w:r>
      <w:proofErr w:type="spellStart"/>
      <w:r>
        <w:t>wk</w:t>
      </w:r>
      <w:proofErr w:type="spellEnd"/>
      <w:r>
        <w:t xml:space="preserve"> are associated with </w:t>
      </w:r>
      <w:r w:rsidRPr="00304FE7">
        <w:rPr>
          <w:i/>
        </w:rPr>
        <w:t>reduced</w:t>
      </w:r>
      <w:r>
        <w:t xml:space="preserve"> life satisfaction (significantly so from 14(female)/21(male) units), reaching a 0.26 point fall in the heaviest-drinking group (p=0.002).  In the final models that control for both unobserved time-invariant (via fixed effects) and observed time-varying factors (via controls), we see a similar pattern, but this is weaker and not statistically significant (heaviest drinking group p=0.15, joint p=0.20).  </w:t>
      </w:r>
    </w:p>
    <w:p w14:paraId="33E26201" w14:textId="4492581B" w:rsidR="00B07D80" w:rsidRDefault="00B07D80" w:rsidP="00504FE6">
      <w:r>
        <w:t xml:space="preserve">Despite covering the UK rather than Russia, </w:t>
      </w:r>
      <w:r w:rsidR="001E0D91">
        <w:t xml:space="preserve">the pattern of OLS and FE </w:t>
      </w:r>
      <w:r>
        <w:t xml:space="preserve">results are similar to </w:t>
      </w:r>
      <w:proofErr w:type="spellStart"/>
      <w:r>
        <w:t>Massin</w:t>
      </w:r>
      <w:proofErr w:type="spellEnd"/>
      <w:r>
        <w:t xml:space="preserve"> &amp; Kopp </w:t>
      </w:r>
      <w:r w:rsidR="008D1AC1">
        <w:fldChar w:fldCharType="begin"/>
      </w:r>
      <w:r w:rsidR="00B21C78">
        <w:instrText xml:space="preserve"> ADDIN EN.CITE &lt;EndNote&gt;&lt;Cite ExcludeAuth="1"&gt;&lt;Author&gt;Massin&lt;/Author&gt;&lt;Year&gt;2014&lt;/Year&gt;&lt;RecNum&gt;2139&lt;/RecNum&gt;&lt;Suffix&gt;:Figure 1&lt;/Suffix&gt;&lt;DisplayText&gt;(2014:Figure 1)&lt;/DisplayText&gt;&lt;record&gt;&lt;rec-number&gt;2139&lt;/rec-number&gt;&lt;foreign-keys&gt;&lt;key app="EN" db-id="sttprxrp6925duet9e6pf2zo2drwvda5wf02" timestamp="1390911906"&gt;2139&lt;/key&gt;&lt;/foreign-keys&gt;&lt;ref-type name="Journal Article"&gt;17&lt;/ref-type&gt;&lt;contributors&gt;&lt;authors&gt;&lt;author&gt;Massin, Sophie&lt;/author&gt;&lt;author&gt;Kopp, Pierre&lt;/author&gt;&lt;/authors&gt;&lt;/contributors&gt;&lt;titles&gt;&lt;title&gt;Is life satisfaction hump-shaped with alcohol consumption? Evidence from Russian panel data&lt;/title&gt;&lt;secondary-title&gt;Addictive Behaviors&lt;/secondary-title&gt;&lt;/titles&gt;&lt;periodical&gt;&lt;full-title&gt;Addictive Behaviors&lt;/full-title&gt;&lt;/periodical&gt;&lt;pages&gt;803-810&lt;/pages&gt;&lt;volume&gt;39&lt;/volume&gt;&lt;number&gt;4&lt;/number&gt;&lt;keywords&gt;&lt;keyword&gt;life satisfaction&lt;/keyword&gt;&lt;keyword&gt;alcohol consumption&lt;/keyword&gt;&lt;keyword&gt;panel data&lt;/keyword&gt;&lt;keyword&gt;fixed effects&lt;/keyword&gt;&lt;keyword&gt;Russia&lt;/keyword&gt;&lt;/keywords&gt;&lt;dates&gt;&lt;year&gt;2014&lt;/year&gt;&lt;/dates&gt;&lt;isbn&gt;0306-4603&lt;/isbn&gt;&lt;urls&gt;&lt;related-urls&gt;&lt;url&gt;http://www.sciencedirect.com/science/article/pii/S0306460314000069&lt;/url&gt;&lt;/related-urls&gt;&lt;/urls&gt;&lt;electronic-resource-num&gt;http://dx.doi.org/10.1016/j.addbeh.2014.01.005&lt;/electronic-resource-num&gt;&lt;/record&gt;&lt;/Cite&gt;&lt;/EndNote&gt;</w:instrText>
      </w:r>
      <w:r w:rsidR="008D1AC1">
        <w:fldChar w:fldCharType="separate"/>
      </w:r>
      <w:r w:rsidR="008D1AC1">
        <w:rPr>
          <w:noProof/>
        </w:rPr>
        <w:t>(2014:Figure 1)</w:t>
      </w:r>
      <w:r w:rsidR="008D1AC1">
        <w:fldChar w:fldCharType="end"/>
      </w:r>
      <w:r>
        <w:t>. Their OLS models also showed a significant curvilinear relationship, but their FE models only showed a statistically significant finding for the top-quartile of male drinkers (&gt;29 units/</w:t>
      </w:r>
      <w:proofErr w:type="spellStart"/>
      <w:r>
        <w:t>wk</w:t>
      </w:r>
      <w:proofErr w:type="spellEnd"/>
      <w:r>
        <w:t xml:space="preserve">), who had 0.05 points lower life satisfaction on a five-point scale compared to abstainers, similar to the 0.13 points on an eleven-point scale here. </w:t>
      </w:r>
    </w:p>
    <w:p w14:paraId="2EB113CF" w14:textId="747F733A" w:rsidR="008D1AC1" w:rsidRPr="005931D4" w:rsidRDefault="005931D4" w:rsidP="005931D4">
      <w:pPr>
        <w:spacing w:after="160" w:line="259" w:lineRule="auto"/>
        <w:jc w:val="center"/>
        <w:rPr>
          <w:b/>
          <w:i/>
          <w:iCs/>
          <w:szCs w:val="18"/>
        </w:rPr>
      </w:pPr>
      <w:bookmarkStart w:id="1" w:name="_Ref386484734"/>
      <w:r w:rsidRPr="005931D4">
        <w:rPr>
          <w:b/>
          <w:i/>
          <w:iCs/>
          <w:szCs w:val="18"/>
        </w:rPr>
        <w:t>[Table 1 about here]</w:t>
      </w:r>
    </w:p>
    <w:p w14:paraId="3A3F732D" w14:textId="77777777" w:rsidR="005931D4" w:rsidRDefault="005931D4" w:rsidP="008D1AC1">
      <w:pPr>
        <w:spacing w:after="160" w:line="259" w:lineRule="auto"/>
        <w:rPr>
          <w:b/>
          <w:i/>
          <w:iCs/>
          <w:szCs w:val="18"/>
          <w:u w:val="single"/>
        </w:rPr>
      </w:pPr>
    </w:p>
    <w:bookmarkEnd w:id="1"/>
    <w:p w14:paraId="5EB86D85" w14:textId="5DC194F3" w:rsidR="008B5C57" w:rsidRDefault="00B07D80" w:rsidP="00504FE6">
      <w:r>
        <w:t xml:space="preserve">Table 2 shows </w:t>
      </w:r>
      <w:r w:rsidRPr="00304FE7">
        <w:t xml:space="preserve">parallel models for alternate measures of alcohol consumption.  Frequency of drinking does </w:t>
      </w:r>
      <w:r w:rsidRPr="00304FE7">
        <w:rPr>
          <w:i/>
        </w:rPr>
        <w:t>not</w:t>
      </w:r>
      <w:r w:rsidRPr="00304FE7">
        <w:t xml:space="preserve"> have a relationship with wellbeing in the FE models</w:t>
      </w:r>
      <w:r>
        <w:t xml:space="preserve">, but developing </w:t>
      </w:r>
      <w:r w:rsidRPr="00304FE7">
        <w:t xml:space="preserve">alcohol problems </w:t>
      </w:r>
      <w:r>
        <w:t xml:space="preserve">(only available at ages 30 and 34) </w:t>
      </w:r>
      <w:r w:rsidRPr="00304FE7">
        <w:t>is associated with reduced wellbeing</w:t>
      </w:r>
      <w:r>
        <w:t xml:space="preserve"> (p=0.003 in FE model), </w:t>
      </w:r>
      <w:r w:rsidRPr="00304FE7">
        <w:t xml:space="preserve">mirroring </w:t>
      </w:r>
      <w:r w:rsidR="00634DF1">
        <w:t xml:space="preserve">Binder &amp; Coad </w:t>
      </w:r>
      <w:r w:rsidR="00F00522">
        <w:fldChar w:fldCharType="begin"/>
      </w:r>
      <w:r w:rsidR="00634DF1">
        <w:instrText xml:space="preserve"> ADDIN EN.CITE &lt;EndNote&gt;&lt;Cite ExcludeAuth="1"&gt;&lt;Author&gt;Binder&lt;/Author&gt;&lt;Year&gt;2013&lt;/Year&gt;&lt;RecNum&gt;2136&lt;/RecNum&gt;&lt;DisplayText&gt;(2013)&lt;/DisplayText&gt;&lt;record&gt;&lt;rec-number&gt;2136&lt;/rec-number&gt;&lt;foreign-keys&gt;&lt;key app="EN" db-id="sttprxrp6925duet9e6pf2zo2drwvda5wf02" timestamp="1390910847"&gt;2136&lt;/key&gt;&lt;/foreign-keys&gt;&lt;ref-type name="Journal Article"&gt;17&lt;/ref-type&gt;&lt;contributors&gt;&lt;authors&gt;&lt;author&gt;Binder, Martin&lt;/author&gt;&lt;author&gt;Coad, Alex&lt;/author&gt;&lt;/authors&gt;&lt;/contributors&gt;&lt;titles&gt;&lt;title&gt;“I&amp;apos;m afraid I have bad news for you…” Estimating the impact of different health impairments on subjective well-being&lt;/title&gt;&lt;secondary-title&gt;Social Science &amp;amp; Medicine&lt;/secondary-title&gt;&lt;/titles&gt;&lt;periodical&gt;&lt;full-title&gt;Social Science &amp;amp; Medicine&lt;/full-title&gt;&lt;/periodical&gt;&lt;pages&gt;155-167&lt;/pages&gt;&lt;volume&gt;87&lt;/volume&gt;&lt;number&gt;0&lt;/number&gt;&lt;keywords&gt;&lt;keyword&gt;Great Britain&lt;/keyword&gt;&lt;keyword&gt;Health&lt;/keyword&gt;&lt;keyword&gt;Illness&lt;/keyword&gt;&lt;keyword&gt;Happiness&lt;/keyword&gt;&lt;keyword&gt;Subjective well-being&lt;/keyword&gt;&lt;keyword&gt;Matching estimators&lt;/keyword&gt;&lt;keyword&gt;Propensity score matching&lt;/keyword&gt;&lt;keyword&gt;BHPS&lt;/keyword&gt;&lt;/keywords&gt;&lt;dates&gt;&lt;year&gt;2013&lt;/year&gt;&lt;pub-dates&gt;&lt;date&gt;6//&lt;/date&gt;&lt;/pub-dates&gt;&lt;/dates&gt;&lt;isbn&gt;0277-9536&lt;/isbn&gt;&lt;urls&gt;&lt;related-urls&gt;&lt;url&gt;http://www.sciencedirect.com/science/article/pii/S0277953613001871&lt;/url&gt;&lt;/related-urls&gt;&lt;/urls&gt;&lt;electronic-resource-num&gt;http://dx.doi.org/10.1016/j.socscimed.2013.03.025&lt;/electronic-resource-num&gt;&lt;/record&gt;&lt;/Cite&gt;&lt;/EndNote&gt;</w:instrText>
      </w:r>
      <w:r w:rsidR="00F00522">
        <w:fldChar w:fldCharType="separate"/>
      </w:r>
      <w:r w:rsidR="00634DF1">
        <w:rPr>
          <w:noProof/>
        </w:rPr>
        <w:t>(2013)</w:t>
      </w:r>
      <w:r w:rsidR="00F00522">
        <w:fldChar w:fldCharType="end"/>
      </w:r>
      <w:r w:rsidRPr="00304FE7">
        <w:t xml:space="preserve">. </w:t>
      </w:r>
    </w:p>
    <w:p w14:paraId="330835EA" w14:textId="441A930C" w:rsidR="005931D4" w:rsidRDefault="005931D4" w:rsidP="005931D4">
      <w:pPr>
        <w:spacing w:after="160" w:line="259" w:lineRule="auto"/>
        <w:jc w:val="center"/>
        <w:rPr>
          <w:b/>
          <w:i/>
          <w:iCs/>
          <w:szCs w:val="18"/>
        </w:rPr>
      </w:pPr>
      <w:r w:rsidRPr="005931D4">
        <w:rPr>
          <w:b/>
          <w:i/>
          <w:iCs/>
          <w:szCs w:val="18"/>
        </w:rPr>
        <w:t xml:space="preserve">[Table </w:t>
      </w:r>
      <w:r>
        <w:rPr>
          <w:b/>
          <w:i/>
          <w:iCs/>
          <w:szCs w:val="18"/>
        </w:rPr>
        <w:t>2</w:t>
      </w:r>
      <w:r w:rsidRPr="005931D4">
        <w:rPr>
          <w:b/>
          <w:i/>
          <w:iCs/>
          <w:szCs w:val="18"/>
        </w:rPr>
        <w:t xml:space="preserve"> about here]</w:t>
      </w:r>
    </w:p>
    <w:p w14:paraId="4A880B2D" w14:textId="77777777" w:rsidR="005931D4" w:rsidRPr="005931D4" w:rsidRDefault="005931D4" w:rsidP="005931D4">
      <w:pPr>
        <w:spacing w:after="160" w:line="259" w:lineRule="auto"/>
        <w:jc w:val="center"/>
        <w:rPr>
          <w:b/>
          <w:i/>
          <w:iCs/>
          <w:szCs w:val="18"/>
        </w:rPr>
      </w:pPr>
    </w:p>
    <w:p w14:paraId="686B6F58" w14:textId="61ACF79E" w:rsidR="00AF3058" w:rsidRDefault="00B07D80" w:rsidP="00AF3058">
      <w:r>
        <w:lastRenderedPageBreak/>
        <w:t xml:space="preserve">Several </w:t>
      </w:r>
      <w:r w:rsidRPr="0075004A">
        <w:t>sensitivity analyses were conducted</w:t>
      </w:r>
      <w:r w:rsidR="00AF3058">
        <w:t xml:space="preserve">.  When splitting by gender, </w:t>
      </w:r>
      <w:r w:rsidR="00E65B66">
        <w:t xml:space="preserve">the impact of </w:t>
      </w:r>
      <w:r w:rsidR="00AF3058">
        <w:t xml:space="preserve">alcohol in the FE analyses is concentrated among men, as found by </w:t>
      </w:r>
      <w:proofErr w:type="spellStart"/>
      <w:r w:rsidR="00AF3058">
        <w:t>Massin</w:t>
      </w:r>
      <w:proofErr w:type="spellEnd"/>
      <w:r w:rsidR="00AF3058">
        <w:t xml:space="preserve"> &amp; Kopp</w:t>
      </w:r>
      <w:r w:rsidR="00F00522">
        <w:t xml:space="preserve"> </w:t>
      </w:r>
      <w:r w:rsidR="00756FDA">
        <w:fldChar w:fldCharType="begin"/>
      </w:r>
      <w:r w:rsidR="008D1AC1">
        <w:instrText xml:space="preserve"> ADDIN EN.CITE &lt;EndNote&gt;&lt;Cite ExcludeAuth="1"&gt;&lt;Author&gt;Massin&lt;/Author&gt;&lt;Year&gt;2014&lt;/Year&gt;&lt;RecNum&gt;2139&lt;/RecNum&gt;&lt;DisplayText&gt;(2014)&lt;/DisplayText&gt;&lt;record&gt;&lt;rec-number&gt;2139&lt;/rec-number&gt;&lt;foreign-keys&gt;&lt;key app="EN" db-id="sttprxrp6925duet9e6pf2zo2drwvda5wf02" timestamp="1390911906"&gt;2139&lt;/key&gt;&lt;/foreign-keys&gt;&lt;ref-type name="Journal Article"&gt;17&lt;/ref-type&gt;&lt;contributors&gt;&lt;authors&gt;&lt;author&gt;Massin, Sophie&lt;/author&gt;&lt;author&gt;Kopp, Pierre&lt;/author&gt;&lt;/authors&gt;&lt;/contributors&gt;&lt;titles&gt;&lt;title&gt;Is life satisfaction hump-shaped with alcohol consumption? Evidence from Russian panel data&lt;/title&gt;&lt;secondary-title&gt;Addictive Behaviors&lt;/secondary-title&gt;&lt;/titles&gt;&lt;periodical&gt;&lt;full-title&gt;Addictive Behaviors&lt;/full-title&gt;&lt;/periodical&gt;&lt;pages&gt;803-810&lt;/pages&gt;&lt;volume&gt;39&lt;/volume&gt;&lt;number&gt;4&lt;/number&gt;&lt;keywords&gt;&lt;keyword&gt;life satisfaction&lt;/keyword&gt;&lt;keyword&gt;alcohol consumption&lt;/keyword&gt;&lt;keyword&gt;panel data&lt;/keyword&gt;&lt;keyword&gt;fixed effects&lt;/keyword&gt;&lt;keyword&gt;Russia&lt;/keyword&gt;&lt;/keywords&gt;&lt;dates&gt;&lt;year&gt;2014&lt;/year&gt;&lt;/dates&gt;&lt;isbn&gt;0306-4603&lt;/isbn&gt;&lt;urls&gt;&lt;related-urls&gt;&lt;url&gt;http://www.sciencedirect.com/science/article/pii/S0306460314000069&lt;/url&gt;&lt;/related-urls&gt;&lt;/urls&gt;&lt;electronic-resource-num&gt;http://dx.doi.org/10.1016/j.addbeh.2014.01.005&lt;/electronic-resource-num&gt;&lt;/record&gt;&lt;/Cite&gt;&lt;/EndNote&gt;</w:instrText>
      </w:r>
      <w:r w:rsidR="00756FDA">
        <w:fldChar w:fldCharType="separate"/>
      </w:r>
      <w:r w:rsidR="008D1AC1">
        <w:rPr>
          <w:noProof/>
        </w:rPr>
        <w:t>(2014)</w:t>
      </w:r>
      <w:r w:rsidR="00756FDA">
        <w:fldChar w:fldCharType="end"/>
      </w:r>
      <w:r w:rsidR="00AF3058">
        <w:t>.  However, the effect in men does not reach significance (p=0.2</w:t>
      </w:r>
      <w:r w:rsidR="001067EB">
        <w:t>3</w:t>
      </w:r>
      <w:r w:rsidR="00AF3058">
        <w:t xml:space="preserve">); the patterns in general are similar between genders; and when directly testing the differences between men and women, these are far from statistical significance.  None of the further sensitivity </w:t>
      </w:r>
      <w:r w:rsidR="00A7499F">
        <w:t xml:space="preserve">analyses </w:t>
      </w:r>
      <w:r>
        <w:t>substantively influence the results</w:t>
      </w:r>
      <w:r w:rsidR="00AF3058">
        <w:t>: e</w:t>
      </w:r>
      <w:r>
        <w:t xml:space="preserve">ffectively identical </w:t>
      </w:r>
      <w:r w:rsidRPr="0075004A">
        <w:t>results are found when we use quadratic alcohol consumption</w:t>
      </w:r>
      <w:r>
        <w:t xml:space="preserve">; </w:t>
      </w:r>
      <w:r w:rsidRPr="0075004A">
        <w:t>when we use different assumptions for the unit content of alcoholic drinks</w:t>
      </w:r>
      <w:r>
        <w:t>; or when including additional controls</w:t>
      </w:r>
      <w:r w:rsidR="00B21C78">
        <w:t xml:space="preserve"> (poor health and social support)</w:t>
      </w:r>
      <w:r>
        <w:t xml:space="preserve"> only available in </w:t>
      </w:r>
      <w:r w:rsidR="00B21C78">
        <w:t>certain waves</w:t>
      </w:r>
      <w:r>
        <w:t>.</w:t>
      </w:r>
      <w:r w:rsidR="00E65B66">
        <w:t xml:space="preserve">  Details of these sensitivity analyses are given in Web Appendix S3.</w:t>
      </w:r>
      <w:r>
        <w:t xml:space="preserve">  </w:t>
      </w:r>
    </w:p>
    <w:p w14:paraId="34F38319" w14:textId="77777777" w:rsidR="00406921" w:rsidRDefault="00406921" w:rsidP="00B07D80">
      <w:pPr>
        <w:pStyle w:val="Heading1"/>
        <w:sectPr w:rsidR="00406921" w:rsidSect="008A6F31">
          <w:type w:val="continuous"/>
          <w:pgSz w:w="11906" w:h="16838"/>
          <w:pgMar w:top="1440" w:right="1440" w:bottom="1440" w:left="1440" w:header="708" w:footer="708" w:gutter="0"/>
          <w:cols w:space="708"/>
          <w:docGrid w:linePitch="360"/>
        </w:sectPr>
      </w:pPr>
    </w:p>
    <w:p w14:paraId="604BD2E2" w14:textId="5ABD8DBD" w:rsidR="00B07D80" w:rsidRDefault="00B07D80" w:rsidP="00B07D80">
      <w:pPr>
        <w:pStyle w:val="Heading1"/>
      </w:pPr>
      <w:r>
        <w:lastRenderedPageBreak/>
        <w:t>Study 2: Event-level data</w:t>
      </w:r>
    </w:p>
    <w:p w14:paraId="2F5633D0" w14:textId="77777777" w:rsidR="00746AFC" w:rsidRDefault="00746AFC" w:rsidP="00746AFC">
      <w:pPr>
        <w:pStyle w:val="Heading2"/>
      </w:pPr>
      <w:r>
        <w:t>Methods</w:t>
      </w:r>
    </w:p>
    <w:p w14:paraId="190E82AA" w14:textId="77777777" w:rsidR="00746AFC" w:rsidRDefault="00746AFC" w:rsidP="00746AFC">
      <w:pPr>
        <w:pStyle w:val="Heading3"/>
      </w:pPr>
      <w:r>
        <w:t>Design</w:t>
      </w:r>
    </w:p>
    <w:p w14:paraId="57E6065C" w14:textId="3807FBE2" w:rsidR="00B07D80" w:rsidRPr="005B6ABE" w:rsidRDefault="00A51A08" w:rsidP="00504FE6">
      <w:r>
        <w:t>S</w:t>
      </w:r>
      <w:r w:rsidR="00B07D80">
        <w:t xml:space="preserve">tudy </w:t>
      </w:r>
      <w:r>
        <w:t xml:space="preserve">1 </w:t>
      </w:r>
      <w:r w:rsidR="00B07D80">
        <w:t xml:space="preserve">found no significant relationship between changes in drinking levels/frequency and changes in life satisfaction, but that developing alcohol problems is associated with lower life satisfaction.  </w:t>
      </w:r>
      <w:r w:rsidR="00634DF1">
        <w:t xml:space="preserve">However, we know that </w:t>
      </w:r>
      <w:r w:rsidR="00B07D80">
        <w:t>drinking may have different impacts on different aspects of wellbeing</w:t>
      </w:r>
      <w:r w:rsidR="008D1AC1">
        <w:t xml:space="preserve"> over different timescales</w:t>
      </w:r>
      <w:r w:rsidR="00BF0E6C">
        <w:t xml:space="preserve">, </w:t>
      </w:r>
      <w:r w:rsidR="00B07D80">
        <w:t xml:space="preserve">and this requires a different type of data.  We therefore make use of a unique </w:t>
      </w:r>
      <w:r w:rsidR="002019E6">
        <w:t xml:space="preserve">smartphone-based </w:t>
      </w:r>
      <w:r w:rsidR="00B07D80">
        <w:t>dataset – ‘</w:t>
      </w:r>
      <w:proofErr w:type="spellStart"/>
      <w:r w:rsidR="00B07D80">
        <w:t>Mappiness</w:t>
      </w:r>
      <w:proofErr w:type="spellEnd"/>
      <w:r w:rsidR="00B07D80">
        <w:t xml:space="preserve">’– </w:t>
      </w:r>
      <w:r w:rsidR="002019E6">
        <w:t xml:space="preserve">that enables us to examine the association of drinking with happiness </w:t>
      </w:r>
      <w:r w:rsidR="002019E6">
        <w:rPr>
          <w:i/>
        </w:rPr>
        <w:t xml:space="preserve">at a </w:t>
      </w:r>
      <w:r w:rsidR="002019E6" w:rsidRPr="002019E6">
        <w:rPr>
          <w:i/>
        </w:rPr>
        <w:t>given moment</w:t>
      </w:r>
      <w:r w:rsidR="002019E6">
        <w:t xml:space="preserve">, compared to other moments.  </w:t>
      </w:r>
    </w:p>
    <w:p w14:paraId="79FFAAD9" w14:textId="03281061" w:rsidR="00746AFC" w:rsidRDefault="00F178EE">
      <w:pPr>
        <w:pStyle w:val="Heading3"/>
      </w:pPr>
      <w:r>
        <w:t>Procedures</w:t>
      </w:r>
    </w:p>
    <w:p w14:paraId="28900021" w14:textId="51148EC4" w:rsidR="00F178EE" w:rsidRDefault="00B07D80" w:rsidP="00504FE6">
      <w:r>
        <w:t>The ‘</w:t>
      </w:r>
      <w:proofErr w:type="spellStart"/>
      <w:r>
        <w:t>Mappiness</w:t>
      </w:r>
      <w:proofErr w:type="spellEnd"/>
      <w:r>
        <w:t>’ data uses the Experience Sampling Method (ESM)</w:t>
      </w:r>
      <w:r w:rsidR="006D76D4">
        <w:t xml:space="preserve"> </w:t>
      </w:r>
      <w:r>
        <w:t>, one of several techniques used to obtain ongoing reports of everyday experience</w:t>
      </w:r>
      <w:r w:rsidR="00F00522">
        <w:rPr>
          <w:noProof/>
        </w:rPr>
        <w:t xml:space="preserve"> </w:t>
      </w:r>
      <w:r w:rsidR="00756FDA">
        <w:rPr>
          <w:noProof/>
        </w:rPr>
        <w:fldChar w:fldCharType="begin"/>
      </w:r>
      <w:r w:rsidR="00DF7C6A">
        <w:rPr>
          <w:noProof/>
        </w:rPr>
        <w:instrText xml:space="preserve"> ADDIN EN.CITE &lt;EndNote&gt;&lt;Cite&gt;&lt;Author&gt;Hektner&lt;/Author&gt;&lt;Year&gt;2007&lt;/Year&gt;&lt;RecNum&gt;2177&lt;/RecNum&gt;&lt;DisplayText&gt;(Hektner et al., 2007)&lt;/DisplayText&gt;&lt;record&gt;&lt;rec-number&gt;2177&lt;/rec-number&gt;&lt;foreign-keys&gt;&lt;key app="EN" db-id="sttprxrp6925duet9e6pf2zo2drwvda5wf02" timestamp="1399322601"&gt;2177&lt;/key&gt;&lt;/foreign-keys&gt;&lt;ref-type name="Book"&gt;6&lt;/ref-type&gt;&lt;contributors&gt;&lt;authors&gt;&lt;author&gt;Hektner, J. M.&lt;/author&gt;&lt;author&gt;Schmidt, J. A.&lt;/author&gt;&lt;author&gt;Csíkszentmihályi, M. &lt;/author&gt;&lt;/authors&gt;&lt;/contributors&gt;&lt;titles&gt;&lt;title&gt;Experience Sampling Method: Measuring the Quality of Everyday Life&lt;/title&gt;&lt;/titles&gt;&lt;dates&gt;&lt;year&gt;2007&lt;/year&gt;&lt;/dates&gt;&lt;pub-location&gt;London&lt;/pub-location&gt;&lt;publisher&gt;Sage&lt;/publisher&gt;&lt;urls&gt;&lt;/urls&gt;&lt;/record&gt;&lt;/Cite&gt;&lt;/EndNote&gt;</w:instrText>
      </w:r>
      <w:r w:rsidR="00756FDA">
        <w:rPr>
          <w:noProof/>
        </w:rPr>
        <w:fldChar w:fldCharType="separate"/>
      </w:r>
      <w:r w:rsidR="00DF7C6A">
        <w:rPr>
          <w:noProof/>
        </w:rPr>
        <w:t>(Hektner et al., 2007)</w:t>
      </w:r>
      <w:r w:rsidR="00756FDA">
        <w:rPr>
          <w:noProof/>
        </w:rPr>
        <w:fldChar w:fldCharType="end"/>
      </w:r>
      <w:r>
        <w:t xml:space="preserve">.  Rather than the traditional method of recruiting a sample and providing them with a diary or computer, </w:t>
      </w:r>
      <w:proofErr w:type="spellStart"/>
      <w:r>
        <w:t>Mappiness</w:t>
      </w:r>
      <w:proofErr w:type="spellEnd"/>
      <w:r>
        <w:t xml:space="preserve"> uses a sample of </w:t>
      </w:r>
      <w:r w:rsidR="00E65B66">
        <w:t xml:space="preserve">existing </w:t>
      </w:r>
      <w:r>
        <w:t xml:space="preserve">iPhone users who chose to download </w:t>
      </w:r>
      <w:r w:rsidR="004C1597">
        <w:t xml:space="preserve">the </w:t>
      </w:r>
      <w:proofErr w:type="spellStart"/>
      <w:r>
        <w:t>Mappiness</w:t>
      </w:r>
      <w:proofErr w:type="spellEnd"/>
      <w:r w:rsidR="004C1597">
        <w:t xml:space="preserve"> app</w:t>
      </w:r>
      <w:r>
        <w:t xml:space="preserve">.  Users </w:t>
      </w:r>
      <w:r w:rsidR="004C1597">
        <w:t xml:space="preserve">are </w:t>
      </w:r>
      <w:r>
        <w:t xml:space="preserve">then beeped at regular but random moments (the default is twice/day between 08:00-22:00), giving them a brief questionnaire about how happy they are, who they are with, and what they were doing just prior to </w:t>
      </w:r>
      <w:r>
        <w:lastRenderedPageBreak/>
        <w:t>their response</w:t>
      </w:r>
      <w:r w:rsidR="00B019A3">
        <w:t xml:space="preserve"> (</w:t>
      </w:r>
      <w:r w:rsidR="006D76D4">
        <w:t xml:space="preserve">see Web Appendix </w:t>
      </w:r>
      <w:proofErr w:type="gramStart"/>
      <w:r w:rsidR="006D76D4">
        <w:t xml:space="preserve">S4 </w:t>
      </w:r>
      <w:r w:rsidR="00B019A3">
        <w:t xml:space="preserve"> the</w:t>
      </w:r>
      <w:proofErr w:type="gramEnd"/>
      <w:r w:rsidR="00B019A3">
        <w:t xml:space="preserve"> full questionnaire)</w:t>
      </w:r>
      <w:r>
        <w:t xml:space="preserve">.  Because the device is already integrated into users’ daily lives, the additional burden on respondents is minimal, enabling a sample orders of magnitude larger than </w:t>
      </w:r>
      <w:r w:rsidR="004C1597">
        <w:t xml:space="preserve">conventional </w:t>
      </w:r>
      <w:r>
        <w:t xml:space="preserve">ESM studies.  </w:t>
      </w:r>
    </w:p>
    <w:p w14:paraId="78E0BA5E" w14:textId="2995D2FD" w:rsidR="00F178EE" w:rsidRDefault="00D56019" w:rsidP="00504FE6">
      <w:r>
        <w:t xml:space="preserve">Responses were treated as valid if they were begun within an hour of the beep being sent and completed within five minutes. </w:t>
      </w:r>
      <w:r w:rsidR="00B07D80">
        <w:t>Valid</w:t>
      </w:r>
      <w:r w:rsidR="00AC3AA1">
        <w:t xml:space="preserve">ity </w:t>
      </w:r>
      <w:r>
        <w:t xml:space="preserve">is therefore </w:t>
      </w:r>
      <w:r w:rsidR="00B07D80">
        <w:t xml:space="preserve">dependent on whether respondents had the device with them, were in an area with data reception, were able to hear the signal, </w:t>
      </w:r>
      <w:r w:rsidR="006D76D4">
        <w:t xml:space="preserve">and </w:t>
      </w:r>
      <w:r w:rsidR="00B07D80">
        <w:t xml:space="preserve">were able </w:t>
      </w:r>
      <w:r w:rsidR="006D76D4">
        <w:t xml:space="preserve">and willing </w:t>
      </w:r>
      <w:r w:rsidR="00B07D80">
        <w:t xml:space="preserve">to respond.  </w:t>
      </w:r>
      <w:r w:rsidR="00AB67B4">
        <w:t>T</w:t>
      </w:r>
      <w:r w:rsidR="00B07D80">
        <w:t xml:space="preserve">he valid response rate to signals was 48.4% amongst active participants </w:t>
      </w:r>
      <w:r w:rsidR="00756FDA">
        <w:fldChar w:fldCharType="begin"/>
      </w:r>
      <w:r w:rsidR="00DF7C6A">
        <w:instrText xml:space="preserve"> ADDIN EN.CITE &lt;EndNote&gt;&lt;Cite&gt;&lt;Author&gt;MacKerron&lt;/Author&gt;&lt;Year&gt;2012&lt;/Year&gt;&lt;RecNum&gt;2175&lt;/RecNum&gt;&lt;Suffix&gt;`, p170&lt;/Suffix&gt;&lt;DisplayText&gt;(MacKerron, 2012b, p170)&lt;/DisplayText&gt;&lt;record&gt;&lt;rec-number&gt;2175&lt;/rec-number&gt;&lt;foreign-keys&gt;&lt;key app="EN" db-id="sttprxrp6925duet9e6pf2zo2drwvda5wf02" timestamp="1399322601"&gt;2175&lt;/key&gt;&lt;/foreign-keys&gt;&lt;ref-type name="Report"&gt;27&lt;/ref-type&gt;&lt;contributors&gt;&lt;authors&gt;&lt;author&gt;MacKerron, George&lt;/author&gt;&lt;/authors&gt;&lt;/contributors&gt;&lt;titles&gt;&lt;title&gt;Happiness and Environmental Quality&lt;/title&gt;&lt;secondary-title&gt;PhD thesis&lt;/secondary-title&gt;&lt;/titles&gt;&lt;dates&gt;&lt;year&gt;2012&lt;/year&gt;&lt;/dates&gt;&lt;pub-location&gt;London&lt;/pub-location&gt;&lt;publisher&gt;London School of Economics and Politics Science&lt;/publisher&gt;&lt;urls&gt;&lt;related-urls&gt;&lt;url&gt;http://etheses.lse.ac.uk/383/&lt;/url&gt;&lt;/related-urls&gt;&lt;/urls&gt;&lt;/record&gt;&lt;/Cite&gt;&lt;/EndNote&gt;</w:instrText>
      </w:r>
      <w:r w:rsidR="00756FDA">
        <w:fldChar w:fldCharType="separate"/>
      </w:r>
      <w:r w:rsidR="00DF7C6A">
        <w:rPr>
          <w:noProof/>
        </w:rPr>
        <w:t>(MacKerron, 2012b, p170)</w:t>
      </w:r>
      <w:r w:rsidR="00756FDA">
        <w:fldChar w:fldCharType="end"/>
      </w:r>
      <w:r>
        <w:t xml:space="preserve">, which </w:t>
      </w:r>
      <w:r w:rsidR="00B07D80">
        <w:t xml:space="preserve">is lower than </w:t>
      </w:r>
      <w:r w:rsidR="00AC3AA1">
        <w:t xml:space="preserve">those usually reported for </w:t>
      </w:r>
      <w:r w:rsidR="00B07D80">
        <w:t>diary methods</w:t>
      </w:r>
      <w:r>
        <w:t>. However</w:t>
      </w:r>
      <w:r w:rsidR="00B159D5">
        <w:t xml:space="preserve">, </w:t>
      </w:r>
      <w:r w:rsidR="00AB67B4">
        <w:t xml:space="preserve">this </w:t>
      </w:r>
      <w:r w:rsidR="003A3002">
        <w:t xml:space="preserve">is partly </w:t>
      </w:r>
      <w:r w:rsidR="00AC3AA1">
        <w:t xml:space="preserve">be </w:t>
      </w:r>
      <w:r w:rsidR="00AB67B4">
        <w:t xml:space="preserve">because </w:t>
      </w:r>
      <w:r w:rsidR="003A3002">
        <w:t xml:space="preserve">we reject delayed and therefore unreliable responses that are </w:t>
      </w:r>
      <w:r w:rsidR="00B07D80">
        <w:t>reconstruct</w:t>
      </w:r>
      <w:r w:rsidR="003A3002">
        <w:t>ed</w:t>
      </w:r>
      <w:r w:rsidR="00B07D80">
        <w:t xml:space="preserve"> </w:t>
      </w:r>
      <w:r w:rsidR="003A3002">
        <w:t xml:space="preserve">from memory </w:t>
      </w:r>
      <w:r w:rsidR="00AB67B4">
        <w:t>at a later point</w:t>
      </w:r>
      <w:r w:rsidR="0073360C">
        <w:t xml:space="preserve"> — a serious problem in diary-based studies</w:t>
      </w:r>
      <w:r w:rsidR="00AC3AA1">
        <w:t xml:space="preserve"> </w:t>
      </w:r>
      <w:r w:rsidR="00756FDA">
        <w:fldChar w:fldCharType="begin"/>
      </w:r>
      <w:r w:rsidR="00DF7C6A">
        <w:instrText xml:space="preserve"> ADDIN EN.CITE &lt;EndNote&gt;&lt;Cite&gt;&lt;Author&gt;Stone&lt;/Author&gt;&lt;Year&gt;2002&lt;/Year&gt;&lt;RecNum&gt;2174&lt;/RecNum&gt;&lt;DisplayText&gt;(Stone &amp;amp; Shiffman, 2002)&lt;/DisplayText&gt;&lt;record&gt;&lt;rec-number&gt;2174&lt;/rec-number&gt;&lt;foreign-keys&gt;&lt;key app="EN" db-id="sttprxrp6925duet9e6pf2zo2drwvda5wf02" timestamp="1399322601"&gt;2174&lt;/key&gt;&lt;/foreign-keys&gt;&lt;ref-type name="Journal Article"&gt;17&lt;/ref-type&gt;&lt;contributors&gt;&lt;authors&gt;&lt;author&gt;Stone, A.&lt;/author&gt;&lt;author&gt;Shiffman, S&lt;/author&gt;&lt;/authors&gt;&lt;/contributors&gt;&lt;titles&gt;&lt;title&gt;Capturing momentary, self-report data: A proposal for reporting guidelines&lt;/title&gt;&lt;secondary-title&gt;Annals of Behavioral Medicine,&lt;/secondary-title&gt;&lt;/titles&gt;&lt;periodical&gt;&lt;full-title&gt;Annals of Behavioral Medicine,&lt;/full-title&gt;&lt;/periodical&gt;&lt;pages&gt;236-243&lt;/pages&gt;&lt;volume&gt;24&lt;/volume&gt;&lt;number&gt;3&lt;/number&gt;&lt;dates&gt;&lt;year&gt;2002&lt;/year&gt;&lt;/dates&gt;&lt;urls&gt;&lt;/urls&gt;&lt;/record&gt;&lt;/Cite&gt;&lt;/EndNote&gt;</w:instrText>
      </w:r>
      <w:r w:rsidR="00756FDA">
        <w:fldChar w:fldCharType="separate"/>
      </w:r>
      <w:r w:rsidR="00DF7C6A">
        <w:rPr>
          <w:noProof/>
        </w:rPr>
        <w:t>(Stone &amp; Shiffman, 2002)</w:t>
      </w:r>
      <w:r w:rsidR="00756FDA">
        <w:fldChar w:fldCharType="end"/>
      </w:r>
      <w:r w:rsidR="00B07D80">
        <w:t xml:space="preserve">.  </w:t>
      </w:r>
    </w:p>
    <w:p w14:paraId="21505C20" w14:textId="77777777" w:rsidR="00F178EE" w:rsidRDefault="00F178EE" w:rsidP="00F178EE">
      <w:pPr>
        <w:pStyle w:val="Heading3"/>
      </w:pPr>
      <w:r>
        <w:t>Participants</w:t>
      </w:r>
    </w:p>
    <w:p w14:paraId="3BEC2F87" w14:textId="444F8912" w:rsidR="00591434" w:rsidRDefault="00591434" w:rsidP="00F178EE">
      <w:r>
        <w:t xml:space="preserve">Unlike conventional ESM studies, the </w:t>
      </w:r>
      <w:proofErr w:type="spellStart"/>
      <w:r>
        <w:t>Mappiness</w:t>
      </w:r>
      <w:proofErr w:type="spellEnd"/>
      <w:r>
        <w:t xml:space="preserve"> sampling is opportunistic</w:t>
      </w:r>
      <w:r w:rsidR="00B019A3">
        <w:t xml:space="preserve"> </w:t>
      </w:r>
      <w:r>
        <w:t>– it relies on iPhone users voluntarily</w:t>
      </w:r>
      <w:r w:rsidR="0073360C">
        <w:t xml:space="preserve"> </w:t>
      </w:r>
      <w:r>
        <w:t>download</w:t>
      </w:r>
      <w:r w:rsidR="0073360C">
        <w:t>ing the</w:t>
      </w:r>
      <w:r>
        <w:t xml:space="preserve"> </w:t>
      </w:r>
      <w:proofErr w:type="spellStart"/>
      <w:r w:rsidR="00B019A3">
        <w:t>Mappiness</w:t>
      </w:r>
      <w:proofErr w:type="spellEnd"/>
      <w:r w:rsidR="0073360C">
        <w:t xml:space="preserve"> app</w:t>
      </w:r>
      <w:r>
        <w:t xml:space="preserve">.  The main spike in downloads was associated with </w:t>
      </w:r>
      <w:proofErr w:type="spellStart"/>
      <w:r w:rsidR="00B019A3">
        <w:t>Mappiness</w:t>
      </w:r>
      <w:proofErr w:type="spellEnd"/>
      <w:r w:rsidR="00B019A3">
        <w:t xml:space="preserve"> </w:t>
      </w:r>
      <w:r>
        <w:t>being featured in the UK App Store for two weeks.  Recruitment was also facilitated by media coverage of the app, including TV</w:t>
      </w:r>
      <w:r w:rsidR="006D76D4">
        <w:t>/</w:t>
      </w:r>
      <w:r w:rsidR="008D1AC1">
        <w:t xml:space="preserve">radio </w:t>
      </w:r>
      <w:r>
        <w:t>(</w:t>
      </w:r>
      <w:r w:rsidR="006D76D4">
        <w:t xml:space="preserve">e.g. </w:t>
      </w:r>
      <w:r w:rsidR="008D1AC1">
        <w:t>BBC</w:t>
      </w:r>
      <w:r>
        <w:t>1</w:t>
      </w:r>
      <w:r w:rsidR="008D1AC1">
        <w:t>)</w:t>
      </w:r>
      <w:r>
        <w:t xml:space="preserve"> and in newspapers (</w:t>
      </w:r>
      <w:r w:rsidR="006D76D4">
        <w:t>e.g.</w:t>
      </w:r>
      <w:r w:rsidR="0073360C">
        <w:t xml:space="preserve"> </w:t>
      </w:r>
      <w:r>
        <w:t>The Independent</w:t>
      </w:r>
      <w:r w:rsidR="0073360C">
        <w:t>’s “50 best apps”</w:t>
      </w:r>
      <w:r>
        <w:t>), as well as through social media</w:t>
      </w:r>
      <w:r w:rsidR="00B019A3">
        <w:t xml:space="preserve"> </w:t>
      </w:r>
      <w:r w:rsidR="00756FDA">
        <w:fldChar w:fldCharType="begin"/>
      </w:r>
      <w:r w:rsidR="00DF7C6A">
        <w:instrText xml:space="preserve"> ADDIN EN.CITE &lt;EndNote&gt;&lt;Cite&gt;&lt;Author&gt;MacKerron&lt;/Author&gt;&lt;Year&gt;2012&lt;/Year&gt;&lt;RecNum&gt;2175&lt;/RecNum&gt;&lt;Prefix&gt;for further details`, see &lt;/Prefix&gt;&lt;DisplayText&gt;(for further details, see MacKerron, 2012b)&lt;/DisplayText&gt;&lt;record&gt;&lt;rec-number&gt;2175&lt;/rec-number&gt;&lt;foreign-keys&gt;&lt;key app="EN" db-id="sttprxrp6925duet9e6pf2zo2drwvda5wf02" timestamp="1399322601"&gt;2175&lt;/key&gt;&lt;/foreign-keys&gt;&lt;ref-type name="Report"&gt;27&lt;/ref-type&gt;&lt;contributors&gt;&lt;authors&gt;&lt;author&gt;MacKerron, George&lt;/author&gt;&lt;/authors&gt;&lt;/contributors&gt;&lt;titles&gt;&lt;title&gt;Happiness and Environmental Quality&lt;/title&gt;&lt;secondary-title&gt;PhD thesis&lt;/secondary-title&gt;&lt;/titles&gt;&lt;dates&gt;&lt;year&gt;2012&lt;/year&gt;&lt;/dates&gt;&lt;pub-location&gt;London&lt;/pub-location&gt;&lt;publisher&gt;London School of Economics and Politics Science&lt;/publisher&gt;&lt;urls&gt;&lt;related-urls&gt;&lt;url&gt;http://etheses.lse.ac.uk/383/&lt;/url&gt;&lt;/related-urls&gt;&lt;/urls&gt;&lt;/record&gt;&lt;/Cite&gt;&lt;/EndNote&gt;</w:instrText>
      </w:r>
      <w:r w:rsidR="00756FDA">
        <w:fldChar w:fldCharType="separate"/>
      </w:r>
      <w:r w:rsidR="00DF7C6A">
        <w:rPr>
          <w:noProof/>
        </w:rPr>
        <w:t>(for further details, see MacKerron, 2012b)</w:t>
      </w:r>
      <w:r w:rsidR="00756FDA">
        <w:fldChar w:fldCharType="end"/>
      </w:r>
      <w:r>
        <w:t xml:space="preserve">.  </w:t>
      </w:r>
    </w:p>
    <w:p w14:paraId="67690945" w14:textId="62321DD0" w:rsidR="00B07D80" w:rsidRDefault="00591434" w:rsidP="00504FE6">
      <w:r>
        <w:t>After excluding non-UK responses, t</w:t>
      </w:r>
      <w:r w:rsidR="00F178EE">
        <w:t xml:space="preserve">he total sample here contains 2 million individual responses, collected from 31,302 individual users </w:t>
      </w:r>
      <w:r w:rsidR="006D76D4">
        <w:t xml:space="preserve">across </w:t>
      </w:r>
      <w:r w:rsidR="00F178EE">
        <w:t xml:space="preserve">2010-2013, which MacKerron &amp; </w:t>
      </w:r>
      <w:proofErr w:type="spellStart"/>
      <w:r w:rsidR="00F178EE">
        <w:t>Mourato</w:t>
      </w:r>
      <w:proofErr w:type="spellEnd"/>
      <w:r w:rsidR="00F178EE">
        <w:t xml:space="preserve"> </w:t>
      </w:r>
      <w:r w:rsidR="008D1AC1">
        <w:fldChar w:fldCharType="begin"/>
      </w:r>
      <w:r w:rsidR="008D1AC1">
        <w:instrText xml:space="preserve"> ADDIN EN.CITE &lt;EndNote&gt;&lt;Cite ExcludeAuth="1"&gt;&lt;Author&gt;MacKerron&lt;/Author&gt;&lt;Year&gt;2013&lt;/Year&gt;&lt;RecNum&gt;2176&lt;/RecNum&gt;&lt;Suffix&gt;:59&lt;/Suffix&gt;&lt;DisplayText&gt;(2013:59)&lt;/DisplayText&gt;&lt;record&gt;&lt;rec-number&gt;2176&lt;/rec-number&gt;&lt;foreign-keys&gt;&lt;key app="EN" db-id="sttprxrp6925duet9e6pf2zo2drwvda5wf02" timestamp="1399322601"&gt;2176&lt;/key&gt;&lt;/foreign-keys&gt;&lt;ref-type name="Journal Article"&gt;17&lt;/ref-type&gt;&lt;contributors&gt;&lt;authors&gt;&lt;author&gt;George MacKerron&lt;/author&gt;&lt;author&gt;Susana Mourato&lt;/author&gt;&lt;/authors&gt;&lt;/contributors&gt;&lt;titles&gt;&lt;title&gt;Happiness is greater in natural environments&lt;/title&gt;&lt;secondary-title&gt;Global Environmental Change&lt;/secondary-title&gt;&lt;/titles&gt;&lt;periodical&gt;&lt;full-title&gt;Global Environmental Change&lt;/full-title&gt;&lt;/periodical&gt;&lt;pages&gt;992-1000&lt;/pages&gt;&lt;volume&gt;23&lt;/volume&gt;&lt;number&gt;5&lt;/number&gt;&lt;dates&gt;&lt;year&gt;2013&lt;/year&gt;&lt;/dates&gt;&lt;urls&gt;&lt;related-urls&gt;&lt;url&gt;http://dx.doi.org/10.1016/j.gloenvcha.2013.03.010&lt;/url&gt;&lt;/related-urls&gt;&lt;/urls&gt;&lt;/record&gt;&lt;/Cite&gt;&lt;/EndNote&gt;</w:instrText>
      </w:r>
      <w:r w:rsidR="008D1AC1">
        <w:fldChar w:fldCharType="separate"/>
      </w:r>
      <w:r w:rsidR="008D1AC1">
        <w:rPr>
          <w:noProof/>
        </w:rPr>
        <w:t>(2013:59)</w:t>
      </w:r>
      <w:r w:rsidR="008D1AC1">
        <w:fldChar w:fldCharType="end"/>
      </w:r>
      <w:r w:rsidR="008D1AC1">
        <w:t xml:space="preserve"> </w:t>
      </w:r>
      <w:r w:rsidR="00F178EE">
        <w:t xml:space="preserve">believe to be </w:t>
      </w:r>
      <w:r w:rsidR="00F178EE" w:rsidRPr="003C182C">
        <w:rPr>
          <w:i/>
        </w:rPr>
        <w:t>“the largest ever achieved by an ES</w:t>
      </w:r>
      <w:r w:rsidR="00F178EE">
        <w:rPr>
          <w:i/>
        </w:rPr>
        <w:t>M study</w:t>
      </w:r>
      <w:r w:rsidR="00F178EE" w:rsidRPr="003C182C">
        <w:rPr>
          <w:i/>
        </w:rPr>
        <w:t>”</w:t>
      </w:r>
      <w:r w:rsidR="00F178EE">
        <w:t xml:space="preserve">. </w:t>
      </w:r>
      <w:r w:rsidR="00B07D80">
        <w:t>Given the self-selection into the sample and the restriction to iPhone users, it is unsurprising that the sample is unrepresentative of the UK population: participants are more likely to be young (two-thirds are under 35)</w:t>
      </w:r>
      <w:r w:rsidR="008D1AC1">
        <w:t xml:space="preserve"> and </w:t>
      </w:r>
      <w:r w:rsidR="00B07D80">
        <w:t xml:space="preserve">wealthy (median income is £48,000, almost twice the UK median) </w:t>
      </w:r>
      <w:r w:rsidR="00756FDA">
        <w:rPr>
          <w:noProof/>
        </w:rPr>
        <w:fldChar w:fldCharType="begin"/>
      </w:r>
      <w:r w:rsidR="008D1AC1">
        <w:rPr>
          <w:noProof/>
        </w:rPr>
        <w:instrText xml:space="preserve"> ADDIN EN.CITE &lt;EndNote&gt;&lt;Cite&gt;&lt;Author&gt;MacKerron&lt;/Author&gt;&lt;Year&gt;2012&lt;/Year&gt;&lt;RecNum&gt;2175&lt;/RecNum&gt;&lt;Suffix&gt;:167&lt;/Suffix&gt;&lt;DisplayText&gt;(MacKerron, 2012b:167)&lt;/DisplayText&gt;&lt;record&gt;&lt;rec-number&gt;2175&lt;/rec-number&gt;&lt;foreign-keys&gt;&lt;key app="EN" db-id="sttprxrp6925duet9e6pf2zo2drwvda5wf02" timestamp="1399322601"&gt;2175&lt;/key&gt;&lt;/foreign-keys&gt;&lt;ref-type name="Report"&gt;27&lt;/ref-type&gt;&lt;contributors&gt;&lt;authors&gt;&lt;author&gt;MacKerron, George&lt;/author&gt;&lt;/authors&gt;&lt;/contributors&gt;&lt;titles&gt;&lt;title&gt;Happiness and Environmental Quality&lt;/title&gt;&lt;secondary-title&gt;PhD thesis&lt;/secondary-title&gt;&lt;/titles&gt;&lt;dates&gt;&lt;year&gt;2012&lt;/year&gt;&lt;/dates&gt;&lt;pub-location&gt;London&lt;/pub-location&gt;&lt;publisher&gt;London School of Economics and Politics Science&lt;/publisher&gt;&lt;urls&gt;&lt;related-urls&gt;&lt;url&gt;http://etheses.lse.ac.uk/383/&lt;/url&gt;&lt;/related-urls&gt;&lt;/urls&gt;&lt;/record&gt;&lt;/Cite&gt;&lt;/EndNote&gt;</w:instrText>
      </w:r>
      <w:r w:rsidR="00756FDA">
        <w:rPr>
          <w:noProof/>
        </w:rPr>
        <w:fldChar w:fldCharType="separate"/>
      </w:r>
      <w:r w:rsidR="008D1AC1">
        <w:rPr>
          <w:noProof/>
        </w:rPr>
        <w:t>(MacKerron, 2012b:167)</w:t>
      </w:r>
      <w:r w:rsidR="00756FDA">
        <w:rPr>
          <w:noProof/>
        </w:rPr>
        <w:fldChar w:fldCharType="end"/>
      </w:r>
      <w:r w:rsidR="00B07D80">
        <w:t xml:space="preserve">. </w:t>
      </w:r>
    </w:p>
    <w:p w14:paraId="4033924A" w14:textId="157FF734" w:rsidR="00746AFC" w:rsidRDefault="00746AFC" w:rsidP="000D5565">
      <w:pPr>
        <w:pStyle w:val="Heading3"/>
      </w:pPr>
      <w:r>
        <w:lastRenderedPageBreak/>
        <w:t>Data analysis</w:t>
      </w:r>
    </w:p>
    <w:p w14:paraId="43957E39" w14:textId="2470FED6" w:rsidR="00B07D80" w:rsidRDefault="00B07D80" w:rsidP="00504FE6">
      <w:r>
        <w:t xml:space="preserve">Our analysis </w:t>
      </w:r>
      <w:r w:rsidR="00176779">
        <w:t xml:space="preserve">again </w:t>
      </w:r>
      <w:r>
        <w:t>uses FE models, as above.</w:t>
      </w:r>
      <w:r w:rsidR="00E21C8A">
        <w:t xml:space="preserve">  </w:t>
      </w:r>
      <w:r>
        <w:t xml:space="preserve">The short gap between responses also </w:t>
      </w:r>
      <w:r w:rsidR="00B159D5">
        <w:t xml:space="preserve">allows us to </w:t>
      </w:r>
      <w:r>
        <w:t>test for reverse causation where people respond 2+ times in the same day.  For these cases we model the relationship between drinking and wellbeing after 6pm, controlling for their earlier happiness:</w:t>
      </w:r>
    </w:p>
    <w:p w14:paraId="59182899" w14:textId="77777777" w:rsidR="00B07D80" w:rsidRDefault="00B07D80" w:rsidP="00504FE6">
      <w:pPr>
        <w:ind w:firstLine="720"/>
      </w:pPr>
      <w:r w:rsidRPr="00F4205C">
        <w:rPr>
          <w:rFonts w:eastAsiaTheme="minorEastAsia"/>
        </w:rPr>
        <w:t xml:space="preserve"> (</w:t>
      </w:r>
      <m:oMath>
        <m:sSub>
          <m:sSubPr>
            <m:ctrlPr>
              <w:rPr>
                <w:rFonts w:ascii="Cambria Math" w:hAnsi="Cambria Math"/>
                <w:i/>
              </w:rPr>
            </m:ctrlPr>
          </m:sSubPr>
          <m:e>
            <m:r>
              <w:rPr>
                <w:rFonts w:ascii="Cambria Math" w:hAnsi="Cambria Math"/>
              </w:rPr>
              <m:t>H</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m:rPr>
                <m:sty m:val="p"/>
              </m:rPr>
              <w:rPr>
                <w:rFonts w:ascii="Cambria Math" w:hAnsi="Cambria Math"/>
              </w:rPr>
              <m:t>Alc</m:t>
            </m:r>
          </m:sub>
        </m:sSub>
        <m:sSub>
          <m:sSubPr>
            <m:ctrlPr>
              <w:rPr>
                <w:rFonts w:ascii="Cambria Math" w:hAnsi="Cambria Math"/>
              </w:rPr>
            </m:ctrlPr>
          </m:sSubPr>
          <m:e>
            <m:r>
              <m:rPr>
                <m:sty m:val="p"/>
              </m:rPr>
              <w:rPr>
                <w:rFonts w:ascii="Cambria Math" w:hAnsi="Cambria Math"/>
              </w:rPr>
              <m:t>(DRK</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p"/>
                  </m:rPr>
                  <w:rPr>
                    <w:rFonts w:ascii="Cambria Math" w:hAnsi="Cambria Math"/>
                  </w:rPr>
                  <m:t>DRK</m:t>
                </m:r>
              </m:e>
            </m:acc>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H</m:t>
            </m:r>
          </m:sub>
        </m:sSub>
        <m:sSub>
          <m:sSubPr>
            <m:ctrlPr>
              <w:rPr>
                <w:rFonts w:ascii="Cambria Math" w:hAnsi="Cambria Math"/>
              </w:rPr>
            </m:ctrlPr>
          </m:sSubPr>
          <m:e>
            <m:r>
              <m:rPr>
                <m:sty m:val="p"/>
              </m:rPr>
              <w:rPr>
                <w:rFonts w:ascii="Cambria Math" w:hAnsi="Cambria Math"/>
              </w:rPr>
              <m:t>(LH</m:t>
            </m:r>
          </m:e>
          <m:sub>
            <m:r>
              <m:rPr>
                <m:sty m:val="p"/>
              </m:rP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m:rPr>
                    <m:sty m:val="p"/>
                  </m:rPr>
                  <w:rPr>
                    <w:rFonts w:ascii="Cambria Math" w:hAnsi="Cambria Math"/>
                  </w:rPr>
                  <m:t>LH</m:t>
                </m:r>
              </m:e>
            </m:acc>
          </m:e>
          <m:sub>
            <m:r>
              <w:rPr>
                <w:rFonts w:ascii="Cambria Math" w:hAnsi="Cambria Math"/>
              </w:rPr>
              <m:t>i</m:t>
            </m:r>
          </m:sub>
        </m:sSub>
        <m:r>
          <w:rPr>
            <w:rFonts w:ascii="Cambria Math" w:hAnsi="Cambria Math"/>
          </w:rPr>
          <m:t>) +</m:t>
        </m:r>
        <m:sSub>
          <m:sSubPr>
            <m:ctrlPr>
              <w:rPr>
                <w:rFonts w:ascii="Cambria Math" w:hAnsi="Cambria Math"/>
                <w:i/>
              </w:rPr>
            </m:ctrlPr>
          </m:sSubPr>
          <m:e>
            <m:r>
              <w:rPr>
                <w:rFonts w:ascii="Cambria Math" w:hAnsi="Cambria Math"/>
              </w:rPr>
              <m:t>β</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sSup>
          <m:sSupPr>
            <m:ctrlPr>
              <w:rPr>
                <w:rFonts w:ascii="Cambria Math" w:hAnsi="Cambria Math"/>
                <w:i/>
              </w:rPr>
            </m:ctrlPr>
          </m:sSupPr>
          <m:e>
            <m:r>
              <w:rPr>
                <w:rFonts w:ascii="Cambria Math" w:hAnsi="Cambria Math"/>
              </w:rPr>
              <m:t>)</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ε</m:t>
                </m:r>
              </m:e>
            </m:acc>
          </m:e>
          <m:sub>
            <m:r>
              <w:rPr>
                <w:rFonts w:ascii="Cambria Math" w:hAnsi="Cambria Math"/>
              </w:rPr>
              <m:t>i</m:t>
            </m:r>
          </m:sub>
        </m:sSub>
        <m:r>
          <w:rPr>
            <w:rFonts w:ascii="Cambria Math" w:hAnsi="Cambria Math"/>
          </w:rPr>
          <m:t>)</m:t>
        </m:r>
      </m:oMath>
      <w:r w:rsidRPr="00F4205C">
        <w:rPr>
          <w:rFonts w:eastAsiaTheme="minorEastAsia"/>
        </w:rPr>
        <w:tab/>
        <w:t xml:space="preserve">(3) </w:t>
      </w:r>
    </w:p>
    <w:p w14:paraId="0EDA51E6" w14:textId="7CF96E1E" w:rsidR="00B07D80" w:rsidRDefault="00B07D80" w:rsidP="00504FE6">
      <w:pPr>
        <w:rPr>
          <w:rFonts w:eastAsiaTheme="minorEastAsia"/>
        </w:rPr>
      </w:pPr>
      <w:r>
        <w:t xml:space="preserve">where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H</m:t>
                </m:r>
              </m:e>
            </m:acc>
          </m:e>
          <m:sub>
            <m:r>
              <w:rPr>
                <w:rFonts w:ascii="Cambria Math" w:hAnsi="Cambria Math"/>
              </w:rPr>
              <m:t>i</m:t>
            </m:r>
          </m:sub>
        </m:sSub>
      </m:oMath>
      <w:r>
        <w:rPr>
          <w:rFonts w:eastAsiaTheme="minorEastAsia"/>
        </w:rPr>
        <w:t xml:space="preserve"> is the within-person average of happiness, </w:t>
      </w:r>
      <m:oMath>
        <m:sSub>
          <m:sSubPr>
            <m:ctrlPr>
              <w:rPr>
                <w:rFonts w:ascii="Cambria Math" w:hAnsi="Cambria Math"/>
                <w:i/>
              </w:rPr>
            </m:ctrlPr>
          </m:sSubPr>
          <m:e>
            <m:acc>
              <m:accPr>
                <m:chr m:val="̅"/>
                <m:ctrlPr>
                  <w:rPr>
                    <w:rFonts w:ascii="Cambria Math" w:hAnsi="Cambria Math"/>
                    <w:i/>
                  </w:rPr>
                </m:ctrlPr>
              </m:accPr>
              <m:e>
                <m:r>
                  <m:rPr>
                    <m:sty m:val="p"/>
                  </m:rPr>
                  <w:rPr>
                    <w:rFonts w:ascii="Cambria Math" w:hAnsi="Cambria Math"/>
                  </w:rPr>
                  <m:t>DRK</m:t>
                </m:r>
              </m:e>
            </m:acc>
          </m:e>
          <m:sub>
            <m:r>
              <w:rPr>
                <w:rFonts w:ascii="Cambria Math" w:hAnsi="Cambria Math"/>
              </w:rPr>
              <m:t>i</m:t>
            </m:r>
          </m:sub>
        </m:sSub>
      </m:oMath>
      <w:r>
        <w:rPr>
          <w:rFonts w:eastAsiaTheme="minorEastAsia"/>
        </w:rPr>
        <w:t xml:space="preserve"> is the within-person average of the drinking dummies, </w:t>
      </w:r>
      <m:oMath>
        <m:sSub>
          <m:sSubPr>
            <m:ctrlPr>
              <w:rPr>
                <w:rFonts w:ascii="Cambria Math" w:hAnsi="Cambria Math"/>
                <w:i/>
              </w:rPr>
            </m:ctrlPr>
          </m:sSubPr>
          <m:e>
            <m:acc>
              <m:accPr>
                <m:chr m:val="̅"/>
                <m:ctrlPr>
                  <w:rPr>
                    <w:rFonts w:ascii="Cambria Math" w:hAnsi="Cambria Math"/>
                    <w:i/>
                  </w:rPr>
                </m:ctrlPr>
              </m:accPr>
              <m:e>
                <m:r>
                  <m:rPr>
                    <m:sty m:val="p"/>
                  </m:rPr>
                  <w:rPr>
                    <w:rFonts w:ascii="Cambria Math" w:hAnsi="Cambria Math"/>
                  </w:rPr>
                  <m:t>LH</m:t>
                </m:r>
              </m:e>
            </m:acc>
          </m:e>
          <m:sub>
            <m:r>
              <w:rPr>
                <w:rFonts w:ascii="Cambria Math" w:hAnsi="Cambria Math"/>
              </w:rPr>
              <m:t>i</m:t>
            </m:r>
          </m:sub>
        </m:sSub>
      </m:oMath>
      <w:r>
        <w:rPr>
          <w:rFonts w:eastAsiaTheme="minorEastAsia"/>
        </w:rPr>
        <w:t xml:space="preserve"> is the average of happiness earlier in the day, and the other terms are as in equation 2.  </w:t>
      </w:r>
      <w:r w:rsidR="001237A0">
        <w:t xml:space="preserve">We here use the cluster-robust sandwich estimator to calculate standard errors, which is robust to moment-to-moment correlations in the error term.  </w:t>
      </w:r>
      <w:r>
        <w:rPr>
          <w:rFonts w:eastAsiaTheme="minorEastAsia"/>
        </w:rPr>
        <w:t xml:space="preserve">While dynamic (lagged) FE models violate the assumption that the error is uncorrelated with the </w:t>
      </w:r>
      <w:proofErr w:type="spellStart"/>
      <w:r>
        <w:rPr>
          <w:rFonts w:eastAsiaTheme="minorEastAsia"/>
        </w:rPr>
        <w:t>regressors</w:t>
      </w:r>
      <w:proofErr w:type="spellEnd"/>
      <w:r>
        <w:rPr>
          <w:rFonts w:eastAsiaTheme="minorEastAsia"/>
        </w:rPr>
        <w:t>, this bias becomes ignorable where the number of time periods is moderately large</w:t>
      </w:r>
      <w:r w:rsidR="00F00522">
        <w:rPr>
          <w:rFonts w:eastAsiaTheme="minorEastAsia"/>
        </w:rPr>
        <w:t xml:space="preserve"> </w:t>
      </w:r>
      <w:r w:rsidR="00756FDA">
        <w:rPr>
          <w:rFonts w:eastAsiaTheme="minorEastAsia"/>
        </w:rPr>
        <w:fldChar w:fldCharType="begin"/>
      </w:r>
      <w:r w:rsidR="00DF7C6A">
        <w:rPr>
          <w:rFonts w:eastAsiaTheme="minorEastAsia"/>
        </w:rPr>
        <w:instrText xml:space="preserve"> ADDIN EN.CITE &lt;EndNote&gt;&lt;Cite&gt;&lt;Author&gt;Roodman&lt;/Author&gt;&lt;Year&gt;2009&lt;/Year&gt;&lt;RecNum&gt;2173&lt;/RecNum&gt;&lt;DisplayText&gt;(Roodman, 2009)&lt;/DisplayText&gt;&lt;record&gt;&lt;rec-number&gt;2173&lt;/rec-number&gt;&lt;foreign-keys&gt;&lt;key app="EN" db-id="sttprxrp6925duet9e6pf2zo2drwvda5wf02" timestamp="1399322601"&gt;2173&lt;/key&gt;&lt;/foreign-keys&gt;&lt;ref-type name="Journal Article"&gt;17&lt;/ref-type&gt;&lt;contributors&gt;&lt;authors&gt;&lt;author&gt;David Roodman&lt;/author&gt;&lt;/authors&gt;&lt;/contributors&gt;&lt;titles&gt;&lt;title&gt;How to do xtabond2: An introduction to di</w:instrText>
      </w:r>
      <w:r w:rsidR="00DF7C6A">
        <w:rPr>
          <w:rFonts w:ascii="Cambria Math" w:eastAsiaTheme="minorEastAsia" w:hAnsi="Cambria Math" w:cs="Cambria Math"/>
        </w:rPr>
        <w:instrText>ﬀ</w:instrText>
      </w:r>
      <w:r w:rsidR="00DF7C6A">
        <w:rPr>
          <w:rFonts w:eastAsiaTheme="minorEastAsia"/>
        </w:rPr>
        <w:instrText>erence and system GMM in Stata&lt;/title&gt;&lt;secondary-title&gt;Stata Journal&lt;/secondary-title&gt;&lt;/titles&gt;&lt;periodical&gt;&lt;full-title&gt;Stata Journal&lt;/full-title&gt;&lt;/periodical&gt;&lt;pages&gt;86-136&lt;/pages&gt;&lt;volume&gt;9&lt;/volume&gt;&lt;number&gt;1&lt;/number&gt;&lt;dates&gt;&lt;year&gt;2009&lt;/year&gt;&lt;/dates&gt;&lt;urls&gt;&lt;related-urls&gt;&lt;url&gt;http://www.stata-journal.com/sjpdf.html?articlenum=st0159&lt;/url&gt;&lt;/related-urls&gt;&lt;/urls&gt;&lt;/record&gt;&lt;/Cite&gt;&lt;/EndNote&gt;</w:instrText>
      </w:r>
      <w:r w:rsidR="00756FDA">
        <w:rPr>
          <w:rFonts w:eastAsiaTheme="minorEastAsia"/>
        </w:rPr>
        <w:fldChar w:fldCharType="separate"/>
      </w:r>
      <w:r w:rsidR="00DF7C6A">
        <w:rPr>
          <w:rFonts w:eastAsiaTheme="minorEastAsia"/>
          <w:noProof/>
        </w:rPr>
        <w:t>(Roodman, 2009)</w:t>
      </w:r>
      <w:r w:rsidR="00756FDA">
        <w:rPr>
          <w:rFonts w:eastAsiaTheme="minorEastAsia"/>
        </w:rPr>
        <w:fldChar w:fldCharType="end"/>
      </w:r>
      <w:r>
        <w:rPr>
          <w:rFonts w:eastAsiaTheme="minorEastAsia"/>
        </w:rPr>
        <w:t xml:space="preserve">; a sensitivity analysis restricts the sample to those providing&gt;=20 relevant observations.  </w:t>
      </w:r>
    </w:p>
    <w:p w14:paraId="693B42F4" w14:textId="21848C45" w:rsidR="00746AFC" w:rsidRDefault="00746AFC" w:rsidP="000D5565">
      <w:pPr>
        <w:pStyle w:val="Heading3"/>
      </w:pPr>
      <w:r>
        <w:t>Measures</w:t>
      </w:r>
    </w:p>
    <w:p w14:paraId="68848FA3" w14:textId="55FE6563" w:rsidR="00B07D80" w:rsidRDefault="00B07D80" w:rsidP="00504FE6">
      <w:r>
        <w:t xml:space="preserve">Wellbeing is measured by the question, </w:t>
      </w:r>
      <w:r>
        <w:rPr>
          <w:i/>
        </w:rPr>
        <w:t>“do you feel…</w:t>
      </w:r>
      <w:r w:rsidRPr="006D6A79">
        <w:rPr>
          <w:i/>
        </w:rPr>
        <w:t xml:space="preserve"> </w:t>
      </w:r>
      <w:r>
        <w:rPr>
          <w:i/>
        </w:rPr>
        <w:t>h</w:t>
      </w:r>
      <w:r w:rsidRPr="006D6A79">
        <w:rPr>
          <w:i/>
        </w:rPr>
        <w:t>appy</w:t>
      </w:r>
      <w:r>
        <w:rPr>
          <w:i/>
        </w:rPr>
        <w:t>?</w:t>
      </w:r>
      <w:proofErr w:type="gramStart"/>
      <w:r>
        <w:rPr>
          <w:i/>
        </w:rPr>
        <w:t>”</w:t>
      </w:r>
      <w:r>
        <w:t>,</w:t>
      </w:r>
      <w:proofErr w:type="gramEnd"/>
      <w:r>
        <w:t xml:space="preserve"> which respondents complete using a slider from 0 (‘not at all’) to 100 (‘extremely’)</w:t>
      </w:r>
      <w:r w:rsidR="0032394B">
        <w:t xml:space="preserve">.  </w:t>
      </w:r>
      <w:r>
        <w:t xml:space="preserve">Drinking is measured </w:t>
      </w:r>
      <w:r w:rsidR="008D1AC1">
        <w:t xml:space="preserve">by </w:t>
      </w:r>
      <w:r>
        <w:t xml:space="preserve">the question, </w:t>
      </w:r>
      <w:r>
        <w:rPr>
          <w:i/>
        </w:rPr>
        <w:t>“Just now, what were you doing?</w:t>
      </w:r>
      <w:proofErr w:type="gramStart"/>
      <w:r>
        <w:rPr>
          <w:i/>
        </w:rPr>
        <w:t>”</w:t>
      </w:r>
      <w:r>
        <w:t>,</w:t>
      </w:r>
      <w:proofErr w:type="gramEnd"/>
      <w:r>
        <w:t xml:space="preserve"> listing 41 different activities including </w:t>
      </w:r>
      <w:r w:rsidRPr="00AA4DA2">
        <w:rPr>
          <w:i/>
        </w:rPr>
        <w:t>‘</w:t>
      </w:r>
      <w:r>
        <w:rPr>
          <w:i/>
        </w:rPr>
        <w:t>d</w:t>
      </w:r>
      <w:r w:rsidRPr="00AA4DA2">
        <w:rPr>
          <w:i/>
        </w:rPr>
        <w:t>rinking alcohol’</w:t>
      </w:r>
      <w:r>
        <w:t xml:space="preserve">, and allowing respondents to select as many activities as apply.  </w:t>
      </w:r>
      <w:r w:rsidRPr="006C47C8">
        <w:t>Drinking was reported in 5.0% of responses (giving 103,036 drinking episodes), in 91.0% of which they reported doing other activities</w:t>
      </w:r>
      <w:r w:rsidR="00E4793A">
        <w:t xml:space="preserve"> in parallel</w:t>
      </w:r>
      <w:r w:rsidRPr="006C47C8">
        <w:t xml:space="preserve">, primarily ‘Talking, chatting, socialising’ (49.2% of all drinking episodes), ‘Watching TV/film’ (31.2%), and ‘Eating, snacking’ (27.9%); </w:t>
      </w:r>
      <w:r>
        <w:t xml:space="preserve">see </w:t>
      </w:r>
      <w:r w:rsidRPr="00076FDD">
        <w:t>Web Appendix S4</w:t>
      </w:r>
      <w:r w:rsidR="00B159D5">
        <w:t xml:space="preserve"> for further details</w:t>
      </w:r>
      <w:r w:rsidRPr="006C47C8">
        <w:t>.</w:t>
      </w:r>
      <w:r>
        <w:t xml:space="preserve">  Given the broad focus of </w:t>
      </w:r>
      <w:proofErr w:type="spellStart"/>
      <w:r>
        <w:t>Mappiness</w:t>
      </w:r>
      <w:proofErr w:type="spellEnd"/>
      <w:r>
        <w:t xml:space="preserve"> and the need to keep the questionnaire short, no data is available on drinking behaviour within each occasion.  </w:t>
      </w:r>
    </w:p>
    <w:p w14:paraId="40874B10" w14:textId="6034AE66" w:rsidR="00B07D80" w:rsidRDefault="00B07D80" w:rsidP="00504FE6">
      <w:r>
        <w:t>Aside from controlling for all time-invariant factors using FE models, we control for a variety of moment-specific factors</w:t>
      </w:r>
      <w:r w:rsidRPr="006C47C8">
        <w:t>, includ</w:t>
      </w:r>
      <w:r>
        <w:t>ing</w:t>
      </w:r>
      <w:r w:rsidRPr="006C47C8">
        <w:t>: what people were doing (4</w:t>
      </w:r>
      <w:r w:rsidR="00B159D5">
        <w:t>0</w:t>
      </w:r>
      <w:r w:rsidRPr="006C47C8">
        <w:t xml:space="preserve"> activities), who they were doing it with (7 types), time of day (three-hour blocks split by weekday vs. weekend/bank holiday</w:t>
      </w:r>
      <w:r w:rsidR="00B159D5">
        <w:t>)</w:t>
      </w:r>
      <w:r w:rsidRPr="006C47C8">
        <w:t xml:space="preserve">, location </w:t>
      </w:r>
      <w:r w:rsidRPr="006C47C8">
        <w:lastRenderedPageBreak/>
        <w:t xml:space="preserve">(inside/outside/in vehicle and home/work/other), and how many responses the participant has </w:t>
      </w:r>
      <w:r w:rsidR="00B159D5">
        <w:t xml:space="preserve">previously </w:t>
      </w:r>
      <w:r w:rsidRPr="006C47C8">
        <w:t>given. OLS estimates also include time-invariant controls for gender, employment status, marital and relationship status, household income, general health, children, single parent status, region, age and age squared at baseline.</w:t>
      </w:r>
      <w:r>
        <w:t xml:space="preserve"> </w:t>
      </w:r>
      <w:r w:rsidR="00A95C30">
        <w:t>Derivations/d</w:t>
      </w:r>
      <w:r w:rsidRPr="006C47C8">
        <w:t xml:space="preserve">escriptive statistics are given in </w:t>
      </w:r>
      <w:r w:rsidRPr="00F27732">
        <w:t>Web Appendix S</w:t>
      </w:r>
      <w:r w:rsidR="00B019A3">
        <w:t>5</w:t>
      </w:r>
      <w:r>
        <w:t>.</w:t>
      </w:r>
    </w:p>
    <w:p w14:paraId="21577F67" w14:textId="77777777" w:rsidR="00B07D80" w:rsidRDefault="00B07D80" w:rsidP="000D5565">
      <w:pPr>
        <w:pStyle w:val="Heading2"/>
      </w:pPr>
      <w:r>
        <w:t>Results</w:t>
      </w:r>
    </w:p>
    <w:p w14:paraId="34BF5D0C" w14:textId="6F7AC4EE" w:rsidR="00B07D80" w:rsidRDefault="00B07D80" w:rsidP="00504FE6">
      <w:r>
        <w:t xml:space="preserve">The </w:t>
      </w:r>
      <w:r w:rsidR="00B159D5">
        <w:t xml:space="preserve">moment-to-moment association of alcohol and wellbeing in </w:t>
      </w:r>
      <w:r w:rsidR="00E21C8A">
        <w:t xml:space="preserve">this unrepresentative panel of iPhone users </w:t>
      </w:r>
      <w:r w:rsidR="00B159D5">
        <w:t xml:space="preserve">is </w:t>
      </w:r>
      <w:r>
        <w:t xml:space="preserve">shown in </w:t>
      </w:r>
      <w:r w:rsidR="00D77C8F">
        <w:t>Table 3</w:t>
      </w:r>
      <w:r>
        <w:t xml:space="preserve">.  Looking first at the OLS results (Columns 2-3), we can see that drinking alcohol is associated with considerably greater happiness </w:t>
      </w:r>
      <w:r w:rsidR="00B159D5">
        <w:t xml:space="preserve">at that moment </w:t>
      </w:r>
      <w:r>
        <w:t>– 10.79 points on a 0-100 scale in the unadjusted model (p&lt;0.001), and 3.6</w:t>
      </w:r>
      <w:r w:rsidR="00B159D5">
        <w:t>5</w:t>
      </w:r>
      <w:r>
        <w:t xml:space="preserve"> points in the </w:t>
      </w:r>
      <w:r w:rsidR="00A95C30">
        <w:t xml:space="preserve">adjusted </w:t>
      </w:r>
      <w:r>
        <w:t xml:space="preserve">model (p&lt;0.001).  Looking at the FE results (Columns 4-5), there is a similar decline between the unadjusted and adjusted models; it is unsurprising that part of the raised happiness when drinking is because it comes alongside other factors that are happiness-inducing.  Still, in the final (adjusted FE) model, drinking alcohol is associated with a happiness gain of nearly 4 points (p&lt;0.001), compared to the same people when they are not drinking.  </w:t>
      </w:r>
    </w:p>
    <w:p w14:paraId="030565DF" w14:textId="0B9FE361" w:rsidR="005931D4" w:rsidRPr="005931D4" w:rsidRDefault="005931D4" w:rsidP="005931D4">
      <w:pPr>
        <w:spacing w:after="160" w:line="259" w:lineRule="auto"/>
        <w:jc w:val="center"/>
        <w:rPr>
          <w:b/>
          <w:i/>
          <w:iCs/>
          <w:szCs w:val="18"/>
        </w:rPr>
      </w:pPr>
      <w:r w:rsidRPr="005931D4">
        <w:rPr>
          <w:b/>
          <w:i/>
          <w:iCs/>
          <w:szCs w:val="18"/>
        </w:rPr>
        <w:t xml:space="preserve">[Table </w:t>
      </w:r>
      <w:r>
        <w:rPr>
          <w:b/>
          <w:i/>
          <w:iCs/>
          <w:szCs w:val="18"/>
        </w:rPr>
        <w:t>3</w:t>
      </w:r>
      <w:r w:rsidRPr="005931D4">
        <w:rPr>
          <w:b/>
          <w:i/>
          <w:iCs/>
          <w:szCs w:val="18"/>
        </w:rPr>
        <w:t xml:space="preserve"> about here]</w:t>
      </w:r>
    </w:p>
    <w:p w14:paraId="602192B0" w14:textId="77777777" w:rsidR="005931D4" w:rsidRDefault="005931D4" w:rsidP="00504FE6"/>
    <w:p w14:paraId="30754EE4" w14:textId="24460511" w:rsidR="00B07D80" w:rsidRDefault="00B07D80" w:rsidP="00504FE6">
      <w:r>
        <w:t xml:space="preserve">We can also see whether this association is partly explained by reverse causation, by controlling for happiness </w:t>
      </w:r>
      <w:r w:rsidRPr="006C47C8">
        <w:t>earlier in the same day (</w:t>
      </w:r>
      <w:r>
        <w:t xml:space="preserve">comparing Column 7 to </w:t>
      </w:r>
      <w:r w:rsidRPr="006C47C8">
        <w:t>Column 6</w:t>
      </w:r>
      <w:r>
        <w:t xml:space="preserve">, which </w:t>
      </w:r>
      <w:r w:rsidRPr="006C47C8">
        <w:t xml:space="preserve">is estimated on the same </w:t>
      </w:r>
      <w:r>
        <w:t xml:space="preserve">evening-only </w:t>
      </w:r>
      <w:r w:rsidRPr="006C47C8">
        <w:t xml:space="preserve">subsample).  </w:t>
      </w:r>
      <w:r>
        <w:t>E</w:t>
      </w:r>
      <w:r w:rsidRPr="006C47C8">
        <w:t>arlier happiness does predict drinking (</w:t>
      </w:r>
      <w:r w:rsidR="00B159D5">
        <w:t xml:space="preserve">see Table S13 in </w:t>
      </w:r>
      <w:r w:rsidRPr="006C47C8">
        <w:t>Web Appendix S</w:t>
      </w:r>
      <w:r w:rsidR="00B019A3">
        <w:t>6</w:t>
      </w:r>
      <w:r w:rsidRPr="006C47C8">
        <w:t>), and</w:t>
      </w:r>
      <w:r>
        <w:t xml:space="preserve"> in Table 3 we can see that the impact of drinking declines slightly from 3.6</w:t>
      </w:r>
      <w:r w:rsidR="00B159D5">
        <w:t>4</w:t>
      </w:r>
      <w:r>
        <w:t xml:space="preserve"> to 3.</w:t>
      </w:r>
      <w:r w:rsidR="00B159D5">
        <w:t>30</w:t>
      </w:r>
      <w:r>
        <w:t xml:space="preserve"> points when controlling for this – but is still moderately large and statistically significant (p&lt;0.001).  (Similar results are found if we restrict the sample to people providing 20+ observations).  In general this suggests that the effect is robust to reverse causation, at least on this timescale.</w:t>
      </w:r>
    </w:p>
    <w:p w14:paraId="1F604FBB" w14:textId="44A2DE37" w:rsidR="00B07D80" w:rsidRDefault="00B07D80" w:rsidP="00504FE6">
      <w:r w:rsidRPr="006C47C8">
        <w:lastRenderedPageBreak/>
        <w:t>We also tested whether the same results were found for different subgroups on different occasions</w:t>
      </w:r>
      <w:r w:rsidR="009C7D4B">
        <w:t>, by interacting drinking simultaneously with person and occasion characteristics</w:t>
      </w:r>
      <w:r w:rsidRPr="006C47C8">
        <w:t xml:space="preserve">.  Perhaps surprisingly, there were </w:t>
      </w:r>
      <w:r>
        <w:t xml:space="preserve">only relatively small </w:t>
      </w:r>
      <w:r w:rsidRPr="006C47C8">
        <w:t>differences in the happiness-inducing effect of alcohol between men and women, or when looking at different times of day, on weekdays vs. weekends</w:t>
      </w:r>
      <w:r>
        <w:t xml:space="preserve">, or </w:t>
      </w:r>
      <w:r w:rsidRPr="006C47C8">
        <w:t>with different people</w:t>
      </w:r>
      <w:r w:rsidR="00B159D5">
        <w:t xml:space="preserve"> </w:t>
      </w:r>
      <w:r w:rsidR="00B159D5" w:rsidRPr="006C47C8">
        <w:t xml:space="preserve">(see </w:t>
      </w:r>
      <w:r w:rsidR="00B159D5" w:rsidRPr="00076FDD">
        <w:t>Web Appendix S</w:t>
      </w:r>
      <w:r w:rsidR="00B159D5">
        <w:t>6</w:t>
      </w:r>
      <w:r w:rsidR="00B159D5" w:rsidRPr="006C47C8">
        <w:t>)</w:t>
      </w:r>
      <w:r w:rsidRPr="006C47C8">
        <w:t xml:space="preserve">.  However, there were </w:t>
      </w:r>
      <w:r>
        <w:t xml:space="preserve">greater </w:t>
      </w:r>
      <w:r w:rsidRPr="006C47C8">
        <w:t>differences according to what people were doing while drinking</w:t>
      </w:r>
      <w:r>
        <w:t>: d</w:t>
      </w:r>
      <w:r w:rsidRPr="006C47C8">
        <w:t>rinking had the greatest impact when it came alongside otherwise unenjoyable activities (traveling/commuting, waiting), and only increased the happiness of already-enjoyable activities by smaller amounts (socialising, making love).  The greatest differences, though, were by age: drinking made most difference to the happiness of younger people (</w:t>
      </w:r>
      <w:r w:rsidR="003D7C91">
        <w:t xml:space="preserve">averaging across different types of drinking occasions, alcohol raised their happiness by </w:t>
      </w:r>
      <w:r>
        <w:t>7.3</w:t>
      </w:r>
      <w:r w:rsidRPr="006C47C8">
        <w:t xml:space="preserve"> points), and least happiness to the oldest (3</w:t>
      </w:r>
      <w:r>
        <w:t>.0</w:t>
      </w:r>
      <w:r w:rsidRPr="006C47C8">
        <w:t xml:space="preserve"> points).  </w:t>
      </w:r>
      <w:r w:rsidR="00606084">
        <w:t xml:space="preserve">This may reflect </w:t>
      </w:r>
      <w:r w:rsidR="00B159D5">
        <w:t xml:space="preserve">heterogeneity </w:t>
      </w:r>
      <w:r w:rsidR="00606084">
        <w:t xml:space="preserve">in the wellbeing impact of drinking </w:t>
      </w:r>
      <w:r w:rsidR="00B159D5">
        <w:t xml:space="preserve">by </w:t>
      </w:r>
      <w:r w:rsidR="00606084">
        <w:t xml:space="preserve">level of intoxication, drinking expectations, and/or peer responses </w:t>
      </w:r>
      <w:r w:rsidRPr="006C47C8">
        <w:t>(</w:t>
      </w:r>
      <w:r w:rsidR="00606084">
        <w:t xml:space="preserve">discussed </w:t>
      </w:r>
      <w:r w:rsidRPr="006C47C8">
        <w:t>above).</w:t>
      </w:r>
    </w:p>
    <w:p w14:paraId="4CDF76AD" w14:textId="77777777" w:rsidR="00B07D80" w:rsidRDefault="00B07D80" w:rsidP="000D5565">
      <w:pPr>
        <w:pStyle w:val="Heading3"/>
      </w:pPr>
      <w:r>
        <w:t>Overspills from the moment of drinking</w:t>
      </w:r>
    </w:p>
    <w:p w14:paraId="25892365" w14:textId="77777777" w:rsidR="006B20E8" w:rsidRDefault="00B07D80" w:rsidP="00504FE6">
      <w:r>
        <w:t>In contrast to the null association of drinking levels/frequency with life satisfaction from BCS70, these results suggest that people are happier when they are drinking.  It is unclear if this is solely because of people’s raised happiness at the moment of drinking, or whether there is a wellbeing ‘overspill’ from the moment of drinking to other moments.  To test this, we changed the data structure from moments into periods by (</w:t>
      </w:r>
      <w:proofErr w:type="spellStart"/>
      <w:r>
        <w:t>i</w:t>
      </w:r>
      <w:proofErr w:type="spellEnd"/>
      <w:r>
        <w:t>) averaging the moment-to-moment responses over weeks</w:t>
      </w:r>
      <w:r w:rsidR="00B019A3">
        <w:t>/</w:t>
      </w:r>
      <w:r>
        <w:t xml:space="preserve">months; then (ii) using FE models to see if people were happier in the weeks/months in which they drank more often.  </w:t>
      </w:r>
    </w:p>
    <w:p w14:paraId="33D8981A" w14:textId="3733B86D" w:rsidR="00B07D80" w:rsidRDefault="00B159D5" w:rsidP="006B20E8">
      <w:r>
        <w:t>W</w:t>
      </w:r>
      <w:r w:rsidR="00417D8F">
        <w:t xml:space="preserve">e must bear in mind that these estimates are more subject to </w:t>
      </w:r>
      <w:r w:rsidR="006B20E8">
        <w:t xml:space="preserve">time-varying confounding than </w:t>
      </w:r>
      <w:r w:rsidR="00417D8F">
        <w:t xml:space="preserve">the </w:t>
      </w:r>
      <w:r w:rsidR="006B20E8">
        <w:t xml:space="preserve">other models – the available </w:t>
      </w:r>
      <w:proofErr w:type="spellStart"/>
      <w:r w:rsidR="006B20E8">
        <w:t>Mappiness</w:t>
      </w:r>
      <w:proofErr w:type="spellEnd"/>
      <w:r w:rsidR="006B20E8">
        <w:t xml:space="preserve"> controls are focused on moment-to-moment rather than month-to-month influences on happiness.  Weeks/months in which people drank more frequently </w:t>
      </w:r>
      <w:r>
        <w:t xml:space="preserve">also have greater </w:t>
      </w:r>
      <w:r w:rsidR="006B20E8">
        <w:t xml:space="preserve">enjoyable tasks (e.g. socialising) and </w:t>
      </w:r>
      <w:r>
        <w:t xml:space="preserve">fewer </w:t>
      </w:r>
      <w:r w:rsidR="006B20E8">
        <w:t>unenjoyable activities (e.g. working), with a few exceptions</w:t>
      </w:r>
      <w:r w:rsidR="004F1728">
        <w:t xml:space="preserve"> (see Web Appendix S6)</w:t>
      </w:r>
      <w:r w:rsidR="006B20E8">
        <w:t xml:space="preserve">, which may indicate that there are other characteristics of these periods that explain the apparent overspill.  </w:t>
      </w:r>
      <w:r w:rsidR="00417D8F">
        <w:t>I</w:t>
      </w:r>
      <w:r w:rsidR="006B20E8">
        <w:t xml:space="preserve">t is </w:t>
      </w:r>
      <w:r>
        <w:t xml:space="preserve">also </w:t>
      </w:r>
      <w:r w:rsidR="006B20E8">
        <w:t xml:space="preserve">difficult to construct the appropriate </w:t>
      </w:r>
      <w:r w:rsidR="006B20E8">
        <w:lastRenderedPageBreak/>
        <w:t xml:space="preserve">counterfactual for periods without alcohol; people are likely to replace drinking with a different leisure activity, but it is difficult </w:t>
      </w:r>
      <w:r>
        <w:t xml:space="preserve">to </w:t>
      </w:r>
      <w:r w:rsidR="006B20E8">
        <w:t xml:space="preserve">predict what this would be.  </w:t>
      </w:r>
    </w:p>
    <w:p w14:paraId="174FDB57" w14:textId="4022632A" w:rsidR="00B07D80" w:rsidRDefault="00F05ED3" w:rsidP="00417D8F">
      <w:r>
        <w:t xml:space="preserve">Bearing this in mind, </w:t>
      </w:r>
      <w:r w:rsidR="00B07D80">
        <w:t>average happiness was higher in the weeks/months in which people drank more often (models M1/M3</w:t>
      </w:r>
      <w:r w:rsidR="00A7640D">
        <w:t xml:space="preserve"> in Table S17 in Web Appendix S6</w:t>
      </w:r>
      <w:r w:rsidR="00B07D80">
        <w:t>)</w:t>
      </w:r>
      <w:r>
        <w:t>.</w:t>
      </w:r>
      <w:r w:rsidR="00551D3E">
        <w:t>However</w:t>
      </w:r>
      <w:r w:rsidR="00B07D80">
        <w:t xml:space="preserve">, the more interesting results are in models M2/M4, which look at average happiness </w:t>
      </w:r>
      <w:r w:rsidR="00B07D80">
        <w:rPr>
          <w:i/>
        </w:rPr>
        <w:t>excluding the moments of drinking</w:t>
      </w:r>
      <w:r w:rsidR="00B07D80">
        <w:t xml:space="preserve">.  These show a slight overspill, with people reporting greater levels of happiness in weeks/months in which they drink more often.  However, the size of these effects is relatively small (a peak effect of &lt;½ point on a 0-100 scale; p=0.02 by week and p=0.01 by month); and moreover </w:t>
      </w:r>
      <w:r w:rsidR="000D056F">
        <w:t xml:space="preserve">the effects </w:t>
      </w:r>
      <w:r w:rsidR="00B07D80">
        <w:t>are non-linear, such that there is little difference between the 2</w:t>
      </w:r>
      <w:r w:rsidR="00B07D80" w:rsidRPr="00F27732">
        <w:rPr>
          <w:vertAlign w:val="superscript"/>
        </w:rPr>
        <w:t>nd</w:t>
      </w:r>
      <w:r w:rsidR="00B07D80">
        <w:t xml:space="preserve"> and 5</w:t>
      </w:r>
      <w:r w:rsidR="00B07D80" w:rsidRPr="00F27732">
        <w:rPr>
          <w:vertAlign w:val="superscript"/>
        </w:rPr>
        <w:t>th</w:t>
      </w:r>
      <w:r w:rsidR="00B07D80">
        <w:t xml:space="preserve"> quintiles of drinking frequency (among drinkers)</w:t>
      </w:r>
      <w:r w:rsidR="00A7640D">
        <w:t>.  This non-linearity</w:t>
      </w:r>
      <w:r w:rsidR="00197572">
        <w:t xml:space="preserve"> may be because alcohol has a primarily positive effect on wellbeing at the moment of drinking, but more mixed overspills onto wellbeing at other moments</w:t>
      </w:r>
      <w:r w:rsidR="00B07D80">
        <w:t xml:space="preserve">. </w:t>
      </w:r>
      <w:r w:rsidR="00DA1D01">
        <w:t xml:space="preserve"> </w:t>
      </w:r>
      <w:r w:rsidR="00197572">
        <w:t xml:space="preserve">For example, this could indicate hangover effects, although </w:t>
      </w:r>
      <w:r w:rsidR="006B20E8">
        <w:t xml:space="preserve">in a further sensitivity analysis, we found no impact of the previous night’s drinking on happiness (albeit a moderate impact on </w:t>
      </w:r>
      <w:proofErr w:type="spellStart"/>
      <w:r w:rsidR="006B20E8">
        <w:t>awakeness</w:t>
      </w:r>
      <w:proofErr w:type="spellEnd"/>
      <w:r w:rsidR="006B20E8">
        <w:t xml:space="preserve">; see Web Appendix S6).  </w:t>
      </w:r>
    </w:p>
    <w:p w14:paraId="5EC93C0D" w14:textId="77777777" w:rsidR="008A6F31" w:rsidRDefault="008A6F31" w:rsidP="00B07D80">
      <w:pPr>
        <w:pStyle w:val="Heading1"/>
        <w:sectPr w:rsidR="008A6F31" w:rsidSect="008A6F31">
          <w:type w:val="continuous"/>
          <w:pgSz w:w="11906" w:h="16838"/>
          <w:pgMar w:top="1440" w:right="1440" w:bottom="1440" w:left="1440" w:header="708" w:footer="708" w:gutter="0"/>
          <w:cols w:space="708"/>
          <w:docGrid w:linePitch="360"/>
        </w:sectPr>
      </w:pPr>
      <w:bookmarkStart w:id="2" w:name="_Ref325279078"/>
    </w:p>
    <w:p w14:paraId="32E83C65" w14:textId="352EC85C" w:rsidR="00B07D80" w:rsidRDefault="00B07D80" w:rsidP="00B07D80">
      <w:pPr>
        <w:pStyle w:val="Heading1"/>
      </w:pPr>
      <w:r>
        <w:lastRenderedPageBreak/>
        <w:t>Discussion</w:t>
      </w:r>
      <w:bookmarkEnd w:id="2"/>
    </w:p>
    <w:p w14:paraId="0ACD924C" w14:textId="663B7AA8" w:rsidR="00AB7995" w:rsidRDefault="00B07D80" w:rsidP="000D5565">
      <w:r>
        <w:t xml:space="preserve">There has been a surprising inattention to wellbeing issues in the academic literature on alcohol.  </w:t>
      </w:r>
      <w:r w:rsidR="00923580">
        <w:t xml:space="preserve">Previous studies have either estimated certain negative wellbeing impacts and been unable to estimate positive ones </w:t>
      </w:r>
      <w:r w:rsidR="00923580">
        <w:rPr>
          <w:noProof/>
        </w:rPr>
        <w:fldChar w:fldCharType="begin"/>
      </w:r>
      <w:r w:rsidR="00923580">
        <w:rPr>
          <w:noProof/>
        </w:rPr>
        <w:instrText xml:space="preserve"> ADDIN EN.CITE &lt;EndNote&gt;&lt;Cite&gt;&lt;Author&gt;Johansson&lt;/Author&gt;&lt;Year&gt;2006&lt;/Year&gt;&lt;RecNum&gt;1864&lt;/RecNum&gt;&lt;DisplayText&gt;(Johansson et al., 2006; Purshouse et al., 2009)&lt;/DisplayText&gt;&lt;record&gt;&lt;rec-number&gt;1864&lt;/rec-number&gt;&lt;foreign-keys&gt;&lt;key app="EN" db-id="sttprxrp6925duet9e6pf2zo2drwvda5wf02" timestamp="0"&gt;1864&lt;/key&gt;&lt;/foreign-keys&gt;&lt;ref-type name="Report"&gt;27&lt;/ref-type&gt;&lt;contributors&gt;&lt;authors&gt;&lt;author&gt;Johansson,P&lt;/author&gt;&lt;author&gt;Jarl, J.&lt;/author&gt;&lt;author&gt;Eriksson, A.&lt;/author&gt;&lt;author&gt;Eriksson,M&lt;/author&gt;&lt;author&gt;Gerdtham,U-G&lt;/author&gt;&lt;author&gt;Hemstrom, O&lt;/author&gt;&lt;author&gt;Hradilova Selin, K.&lt;/author&gt;&lt;author&gt;Lenke, L.&lt;/author&gt;&lt;author&gt;Ramstedt, M.&lt;/author&gt;&lt;author&gt;Room, R&lt;/author&gt;&lt;/authors&gt;&lt;/contributors&gt;&lt;titles&gt;&lt;title&gt;The social costs of alcohol in Sweden 2002&lt;/title&gt;&lt;secondary-title&gt;SoRAD Rapportserie, nr 36&lt;/secondary-title&gt;&lt;/titles&gt;&lt;dates&gt;&lt;year&gt;2006&lt;/year&gt;&lt;/dates&gt;&lt;pub-location&gt;Stockholm&lt;/pub-location&gt;&lt;publisher&gt;Stockholms Universitet, SoRAD&lt;/publisher&gt;&lt;urls&gt;&lt;/urls&gt;&lt;/record&gt;&lt;/Cite&gt;&lt;Cite&gt;&lt;Author&gt;Purshouse&lt;/Author&gt;&lt;Year&gt;2009&lt;/Year&gt;&lt;RecNum&gt;2163&lt;/RecNum&gt;&lt;record&gt;&lt;rec-number&gt;2163&lt;/rec-number&gt;&lt;foreign-keys&gt;&lt;key app="EN" db-id="sttprxrp6925duet9e6pf2zo2drwvda5wf02" timestamp="1399290455"&gt;2163&lt;/key&gt;&lt;/foreign-keys&gt;&lt;ref-type name="Report"&gt;27&lt;/ref-type&gt;&lt;contributors&gt;&lt;authors&gt;&lt;author&gt;Robin Purshouse&lt;/author&gt;&lt;author&gt;Alan Brennan&lt;/author&gt;&lt;author&gt;Nick Latimer&lt;/author&gt;&lt;author&gt;Yang Meng&lt;/author&gt;&lt;author&gt;Rachid Rafia&lt;/author&gt;&lt;author&gt;Rachel Jackson&lt;/author&gt;&lt;author&gt;Petra Meier&lt;/author&gt;&lt;/authors&gt;&lt;/contributors&gt;&lt;titles&gt;&lt;title&gt;Modelling to assess the effectiveness and cost-effectiveness of public health related strategies and interventions to reduce alcohol attributable harm in England using the Sheffield Alcohol Policy Model version 2.0&lt;/title&gt;&lt;/titles&gt;&lt;dates&gt;&lt;year&gt;2009&lt;/year&gt;&lt;/dates&gt;&lt;pub-location&gt;Sheffield&lt;/pub-location&gt;&lt;publisher&gt;Report to the NICE Public Health Programme Development Group&lt;/publisher&gt;&lt;urls&gt;&lt;/urls&gt;&lt;/record&gt;&lt;/Cite&gt;&lt;/EndNote&gt;</w:instrText>
      </w:r>
      <w:r w:rsidR="00923580">
        <w:rPr>
          <w:noProof/>
        </w:rPr>
        <w:fldChar w:fldCharType="separate"/>
      </w:r>
      <w:r w:rsidR="00923580">
        <w:rPr>
          <w:noProof/>
        </w:rPr>
        <w:t>(Johansson et al., 2006; Purshouse et al., 2009)</w:t>
      </w:r>
      <w:r w:rsidR="00923580">
        <w:rPr>
          <w:noProof/>
        </w:rPr>
        <w:fldChar w:fldCharType="end"/>
      </w:r>
      <w:r w:rsidR="00923580">
        <w:t>, or used a</w:t>
      </w:r>
      <w:r w:rsidR="002549F7">
        <w:t xml:space="preserve"> </w:t>
      </w:r>
      <w:r w:rsidR="00E554BF">
        <w:t xml:space="preserve">naive </w:t>
      </w:r>
      <w:r w:rsidR="002549F7">
        <w:t xml:space="preserve">form </w:t>
      </w:r>
      <w:r w:rsidR="00E554BF">
        <w:t xml:space="preserve">of the </w:t>
      </w:r>
      <w:r>
        <w:t xml:space="preserve">‘consumer surplus’ approach </w:t>
      </w:r>
      <w:r w:rsidR="00923580">
        <w:t>that makes assumptions that are difficult to defend</w:t>
      </w:r>
      <w:r w:rsidR="00923580" w:rsidDel="00923580">
        <w:t xml:space="preserve"> </w:t>
      </w:r>
      <w:r w:rsidR="00756FDA">
        <w:fldChar w:fldCharType="begin"/>
      </w:r>
      <w:r w:rsidR="00DF7C6A">
        <w:instrText xml:space="preserve"> ADDIN EN.CITE &lt;EndNote&gt;&lt;Cite&gt;&lt;Author&gt;Aslam&lt;/Author&gt;&lt;Year&gt;2003&lt;/Year&gt;&lt;RecNum&gt;44&lt;/RecNum&gt;&lt;DisplayText&gt;(Aslam et al., 2003; cebr, 2009)&lt;/DisplayText&gt;&lt;record&gt;&lt;rec-number&gt;44&lt;/rec-number&gt;&lt;foreign-keys&gt;&lt;key app="EN" db-id="sttprxrp6925duet9e6pf2zo2drwvda5wf02" timestamp="0"&gt;44&lt;/key&gt;&lt;/foreign-keys&gt;&lt;ref-type name="Web Page"&gt;12&lt;/ref-type&gt;&lt;contributors&gt;&lt;authors&gt;&lt;author&gt;Aslam, S.&lt;/author&gt;&lt;author&gt;Barham, L.&lt;/author&gt;&lt;author&gt;Bramley-Harker, E.&lt;/author&gt;&lt;author&gt;Dodgson, J.&lt;/author&gt;&lt;author&gt;Spackman, M.&lt;/author&gt;&lt;/authors&gt;&lt;/contributors&gt;&lt;titles&gt;&lt;title&gt;Alcohol in London: a cost-benefit analysis&lt;/title&gt;&lt;/titles&gt;&lt;volume&gt;Archived by WebCite® at http://www.webcitation.org/6X4NS2DvP&lt;/volume&gt;&lt;keywords&gt;&lt;keyword&gt;social cost&lt;/keyword&gt;&lt;keyword&gt;UK&lt;/keyword&gt;&lt;/keywords&gt;&lt;dates&gt;&lt;year&gt;2003&lt;/year&gt;&lt;/dates&gt;&lt;pub-location&gt;London, UK&lt;/pub-location&gt;&lt;publisher&gt;A Final Report for the Greater London Authority Prepared by NERA&lt;/publisher&gt;&lt;accession-num&gt;6375&lt;/accession-num&gt;&lt;urls&gt;&lt;related-urls&gt;&lt;url&gt;http://www.london.gov.uk/mayor/health/drugs_and_alcohol/docs/cost_benefit_alcohol.pdf   &lt;/url&gt;&lt;/related-urls&gt;&lt;/urls&gt;&lt;/record&gt;&lt;/Cite&gt;&lt;Cite&gt;&lt;Author&gt;cebr&lt;/Author&gt;&lt;Year&gt;2009&lt;/Year&gt;&lt;RecNum&gt;2001&lt;/RecNum&gt;&lt;record&gt;&lt;rec-number&gt;2001&lt;/rec-number&gt;&lt;foreign-keys&gt;&lt;key app="EN" db-id="sttprxrp6925duet9e6pf2zo2drwvda5wf02" timestamp="0"&gt;2001&lt;/key&gt;&lt;/foreign-keys&gt;&lt;ref-type name="Web Page"&gt;12&lt;/ref-type&gt;&lt;contributors&gt;&lt;authors&gt;&lt;author&gt;cebr&lt;/author&gt;&lt;/authors&gt;&lt;/contributors&gt;&lt;titles&gt;&lt;title&gt;Minimum Alcohol Pricing: a targeted measure?&lt;/title&gt;&lt;/titles&gt;&lt;volume&gt;Archived by WebCite® at http://www.webcitation.org/6XIZxIHHr&lt;/volume&gt;&lt;dates&gt;&lt;year&gt;2009&lt;/year&gt;&lt;/dates&gt;&lt;pub-location&gt;London&lt;/pub-location&gt;&lt;publisher&gt;centre for economics and business research ltd for SAB Miller plc&lt;/publisher&gt;&lt;urls&gt;&lt;/urls&gt;&lt;/record&gt;&lt;/Cite&gt;&lt;/EndNote&gt;</w:instrText>
      </w:r>
      <w:r w:rsidR="00756FDA">
        <w:fldChar w:fldCharType="separate"/>
      </w:r>
      <w:r w:rsidR="00DF7C6A">
        <w:rPr>
          <w:noProof/>
        </w:rPr>
        <w:t>(Aslam et al., 2003; cebr, 2009)</w:t>
      </w:r>
      <w:r w:rsidR="00756FDA">
        <w:fldChar w:fldCharType="end"/>
      </w:r>
      <w:r w:rsidR="00923580">
        <w:t>.  I</w:t>
      </w:r>
      <w:r w:rsidR="002549F7">
        <w:t>t has not yet been demonstrated whether more sophisticated consumer surplus estimates can be convincingly applied to alcohol</w:t>
      </w:r>
      <w:r>
        <w:t xml:space="preserve">.  </w:t>
      </w:r>
    </w:p>
    <w:p w14:paraId="73696BC7" w14:textId="2BF2F1D4" w:rsidR="00AB7995" w:rsidRDefault="00923580">
      <w:r>
        <w:t>In this paper, we present two new fixed effects (FE) estimates using a</w:t>
      </w:r>
      <w:r w:rsidR="009B4AF0">
        <w:t xml:space="preserve">n </w:t>
      </w:r>
      <w:r w:rsidR="00AB7995">
        <w:t xml:space="preserve">alternative </w:t>
      </w:r>
      <w:r w:rsidR="00B07D80">
        <w:t>‘</w:t>
      </w:r>
      <w:r w:rsidR="00EF6511">
        <w:t>subjective wellbeing</w:t>
      </w:r>
      <w:r w:rsidR="00B07D80">
        <w:t>’ approach</w:t>
      </w:r>
      <w:r w:rsidR="00AB7995">
        <w:t>:</w:t>
      </w:r>
    </w:p>
    <w:p w14:paraId="2984EEA8" w14:textId="22342869" w:rsidR="00B07D80" w:rsidRDefault="00AB7995" w:rsidP="000D5565">
      <w:pPr>
        <w:pStyle w:val="ListParagraph"/>
        <w:numPr>
          <w:ilvl w:val="0"/>
          <w:numId w:val="10"/>
        </w:numPr>
      </w:pPr>
      <w:r>
        <w:t xml:space="preserve">Study 1 </w:t>
      </w:r>
      <w:r w:rsidR="009B4AF0">
        <w:t xml:space="preserve">examined the relationship between drinking and life satisfaction across multiple-year transitions in </w:t>
      </w:r>
      <w:r w:rsidR="00B07D80">
        <w:t>the 1970 British Cohort Study (‘BCS70’</w:t>
      </w:r>
      <w:r w:rsidR="009B4AF0">
        <w:t xml:space="preserve">).  </w:t>
      </w:r>
      <w:r w:rsidR="00EF6826">
        <w:t>T</w:t>
      </w:r>
      <w:r w:rsidR="009A02EC">
        <w:t xml:space="preserve">he main specifications </w:t>
      </w:r>
      <w:r w:rsidR="00B07D80">
        <w:t xml:space="preserve">suggested </w:t>
      </w:r>
      <w:r w:rsidR="00B07D80">
        <w:lastRenderedPageBreak/>
        <w:t xml:space="preserve">that there is no relationship between drinking level/frequency and life satisfaction, but a wellbeing </w:t>
      </w:r>
      <w:r w:rsidR="00B07D80" w:rsidRPr="00076FDD">
        <w:t>penalty</w:t>
      </w:r>
      <w:r w:rsidR="00B07D80">
        <w:t xml:space="preserve"> for those with alcohol problems.  </w:t>
      </w:r>
      <w:r w:rsidR="00EF6826">
        <w:t xml:space="preserve">This </w:t>
      </w:r>
      <w:r w:rsidR="00923580">
        <w:t xml:space="preserve">is similar </w:t>
      </w:r>
      <w:r w:rsidR="00EF6826">
        <w:t>to the only previous such study, which uses Russian data</w:t>
      </w:r>
      <w:r w:rsidR="00F00522">
        <w:t xml:space="preserve"> </w:t>
      </w:r>
      <w:r w:rsidR="00756FDA">
        <w:fldChar w:fldCharType="begin"/>
      </w:r>
      <w:r w:rsidR="00DF7C6A">
        <w:instrText xml:space="preserve"> ADDIN EN.CITE &lt;EndNote&gt;&lt;Cite&gt;&lt;Author&gt;Massin&lt;/Author&gt;&lt;Year&gt;2014&lt;/Year&gt;&lt;RecNum&gt;2139&lt;/RecNum&gt;&lt;DisplayText&gt;(Massin &amp;amp; Kopp, 2014)&lt;/DisplayText&gt;&lt;record&gt;&lt;rec-number&gt;2139&lt;/rec-number&gt;&lt;foreign-keys&gt;&lt;key app="EN" db-id="sttprxrp6925duet9e6pf2zo2drwvda5wf02" timestamp="1390911906"&gt;2139&lt;/key&gt;&lt;/foreign-keys&gt;&lt;ref-type name="Journal Article"&gt;17&lt;/ref-type&gt;&lt;contributors&gt;&lt;authors&gt;&lt;author&gt;Massin, Sophie&lt;/author&gt;&lt;author&gt;Kopp, Pierre&lt;/author&gt;&lt;/authors&gt;&lt;/contributors&gt;&lt;titles&gt;&lt;title&gt;Is life satisfaction hump-shaped with alcohol consumption? Evidence from Russian panel data&lt;/title&gt;&lt;secondary-title&gt;Addictive Behaviors&lt;/secondary-title&gt;&lt;/titles&gt;&lt;periodical&gt;&lt;full-title&gt;Addictive Behaviors&lt;/full-title&gt;&lt;/periodical&gt;&lt;pages&gt;803-810&lt;/pages&gt;&lt;volume&gt;39&lt;/volume&gt;&lt;number&gt;4&lt;/number&gt;&lt;keywords&gt;&lt;keyword&gt;life satisfaction&lt;/keyword&gt;&lt;keyword&gt;alcohol consumption&lt;/keyword&gt;&lt;keyword&gt;panel data&lt;/keyword&gt;&lt;keyword&gt;fixed effects&lt;/keyword&gt;&lt;keyword&gt;Russia&lt;/keyword&gt;&lt;/keywords&gt;&lt;dates&gt;&lt;year&gt;2014&lt;/year&gt;&lt;/dates&gt;&lt;isbn&gt;0306-4603&lt;/isbn&gt;&lt;urls&gt;&lt;related-urls&gt;&lt;url&gt;http://www.sciencedirect.com/science/article/pii/S0306460314000069&lt;/url&gt;&lt;/related-urls&gt;&lt;/urls&gt;&lt;electronic-resource-num&gt;http://dx.doi.org/10.1016/j.addbeh.2014.01.005&lt;/electronic-resource-num&gt;&lt;/record&gt;&lt;/Cite&gt;&lt;/EndNote&gt;</w:instrText>
      </w:r>
      <w:r w:rsidR="00756FDA">
        <w:fldChar w:fldCharType="separate"/>
      </w:r>
      <w:r w:rsidR="00DF7C6A">
        <w:rPr>
          <w:noProof/>
        </w:rPr>
        <w:t>(Massin &amp; Kopp, 2014)</w:t>
      </w:r>
      <w:r w:rsidR="00756FDA">
        <w:fldChar w:fldCharType="end"/>
      </w:r>
      <w:r w:rsidR="00EF6826">
        <w:t xml:space="preserve">. </w:t>
      </w:r>
      <w:r w:rsidR="00EF6826" w:rsidDel="009B4AF0">
        <w:t xml:space="preserve"> </w:t>
      </w:r>
    </w:p>
    <w:p w14:paraId="3576C1E2" w14:textId="0D0FA8C4" w:rsidR="009B4AF0" w:rsidRDefault="009B4AF0">
      <w:pPr>
        <w:pStyle w:val="ListParagraph"/>
        <w:numPr>
          <w:ilvl w:val="0"/>
          <w:numId w:val="6"/>
        </w:numPr>
      </w:pPr>
      <w:r>
        <w:t>Study 2 examined the moment-to-moment relationship between drinking and happiness, using innovative smartphone-based data (‘</w:t>
      </w:r>
      <w:proofErr w:type="spellStart"/>
      <w:r>
        <w:t>Mappiness</w:t>
      </w:r>
      <w:proofErr w:type="spellEnd"/>
      <w:r>
        <w:t>’)</w:t>
      </w:r>
      <w:r w:rsidR="00E21C8A">
        <w:t xml:space="preserve"> among an</w:t>
      </w:r>
      <w:r w:rsidR="00176779">
        <w:t xml:space="preserve"> innovative and large but</w:t>
      </w:r>
      <w:r w:rsidR="00E21C8A">
        <w:t xml:space="preserve"> unrepresentative sample of iPhone users</w:t>
      </w:r>
      <w:r>
        <w:t xml:space="preserve">.  This suggested </w:t>
      </w:r>
      <w:r w:rsidR="00B07D80">
        <w:t>that people are noticeably happier at the moment they are drinking, agreeing with previous laboratory studies that show a positive impact of alcohol on mood</w:t>
      </w:r>
      <w:r w:rsidR="003A05B0">
        <w:t xml:space="preserve"> </w:t>
      </w:r>
      <w:r w:rsidR="003A05B0">
        <w:fldChar w:fldCharType="begin"/>
      </w:r>
      <w:r w:rsidR="003A05B0">
        <w:instrText xml:space="preserve"> ADDIN EN.CITE &lt;EndNote&gt;&lt;Cite&gt;&lt;Author&gt;Martin&lt;/Author&gt;&lt;Year&gt;1993&lt;/Year&gt;&lt;RecNum&gt;2206&lt;/RecNum&gt;&lt;DisplayText&gt;(Martin et al., 1993)&lt;/DisplayText&gt;&lt;record&gt;&lt;rec-number&gt;2206&lt;/rec-number&gt;&lt;foreign-keys&gt;&lt;key app="EN" db-id="sttprxrp6925duet9e6pf2zo2drwvda5wf02" timestamp="1406195133"&gt;2206&lt;/key&gt;&lt;/foreign-keys&gt;&lt;ref-type name="Journal Article"&gt;17&lt;/ref-type&gt;&lt;contributors&gt;&lt;authors&gt;&lt;author&gt;Martin, Christopher S.&lt;/author&gt;&lt;author&gt;Earleywine, Mitchell&lt;/author&gt;&lt;author&gt;Musty, Richard E.&lt;/author&gt;&lt;author&gt;Perrine, M. W.&lt;/author&gt;&lt;author&gt;Swift, Robert M.&lt;/author&gt;&lt;/authors&gt;&lt;/contributors&gt;&lt;titles&gt;&lt;title&gt;Development and Validation of the Biphasic Alcohol Effects Scale&lt;/title&gt;&lt;secondary-title&gt;Alcoholism: Clinical and Experimental Research&lt;/secondary-title&gt;&lt;/titles&gt;&lt;periodical&gt;&lt;full-title&gt;Alcoholism: Clinical and Experimental Research&lt;/full-title&gt;&lt;/periodical&gt;&lt;pages&gt;140-146&lt;/pages&gt;&lt;volume&gt;17&lt;/volume&gt;&lt;number&gt;1&lt;/number&gt;&lt;keywords&gt;&lt;keyword&gt;Biphasic Alcohol Effects&lt;/keyword&gt;&lt;keyword&gt;Stimulation&lt;/keyword&gt;&lt;keyword&gt;Sedation&lt;/keyword&gt;&lt;keyword&gt;Limb of Blood Alcohol Curve.&lt;/keyword&gt;&lt;/keywords&gt;&lt;dates&gt;&lt;year&gt;1993&lt;/year&gt;&lt;/dates&gt;&lt;publisher&gt;Blackwell Publishing Ltd&lt;/publisher&gt;&lt;isbn&gt;1530-0277&lt;/isbn&gt;&lt;urls&gt;&lt;related-urls&gt;&lt;url&gt;http://dx.doi.org/10.1111/j.1530-0277.1993.tb00739.x&lt;/url&gt;&lt;/related-urls&gt;&lt;/urls&gt;&lt;electronic-resource-num&gt;10.1111/j.1530-0277.1993.tb00739.x&lt;/electronic-resource-num&gt;&lt;/record&gt;&lt;/Cite&gt;&lt;/EndNote&gt;</w:instrText>
      </w:r>
      <w:r w:rsidR="003A05B0">
        <w:fldChar w:fldCharType="separate"/>
      </w:r>
      <w:r w:rsidR="003A05B0">
        <w:rPr>
          <w:noProof/>
        </w:rPr>
        <w:t>(Martin et al., 1993)</w:t>
      </w:r>
      <w:r w:rsidR="003A05B0">
        <w:fldChar w:fldCharType="end"/>
      </w:r>
      <w:r w:rsidR="00B07D80">
        <w:t xml:space="preserve">. </w:t>
      </w:r>
      <w:r w:rsidR="009A02EC">
        <w:t>However, p</w:t>
      </w:r>
      <w:r w:rsidR="00B07D80">
        <w:t xml:space="preserve">eople are </w:t>
      </w:r>
      <w:r w:rsidR="009A02EC">
        <w:t xml:space="preserve">only </w:t>
      </w:r>
      <w:r w:rsidR="00B07D80">
        <w:t xml:space="preserve">slightly happier at </w:t>
      </w:r>
      <w:r w:rsidR="00EF6826">
        <w:t xml:space="preserve">non-drinking </w:t>
      </w:r>
      <w:r w:rsidR="00B07D80">
        <w:t xml:space="preserve">moments in </w:t>
      </w:r>
      <w:r w:rsidR="00923580">
        <w:t xml:space="preserve">the </w:t>
      </w:r>
      <w:r w:rsidR="00B07D80">
        <w:t xml:space="preserve">weeks/months in which they drink more often. </w:t>
      </w:r>
    </w:p>
    <w:p w14:paraId="3C754AD0" w14:textId="4A8A8684" w:rsidR="00DA1D01" w:rsidRDefault="009A02EC" w:rsidP="000D5565">
      <w:r>
        <w:t xml:space="preserve">Various </w:t>
      </w:r>
      <w:r w:rsidR="009B4AF0">
        <w:t xml:space="preserve">explanations </w:t>
      </w:r>
      <w:r>
        <w:t xml:space="preserve">for </w:t>
      </w:r>
      <w:r w:rsidR="009E6DDA">
        <w:t xml:space="preserve">these </w:t>
      </w:r>
      <w:r>
        <w:t xml:space="preserve">results </w:t>
      </w:r>
      <w:r w:rsidR="000F0CA4">
        <w:t xml:space="preserve">are possible. </w:t>
      </w:r>
      <w:r w:rsidR="009B4AF0">
        <w:t xml:space="preserve"> </w:t>
      </w:r>
      <w:r w:rsidR="00DA1D01">
        <w:t>I</w:t>
      </w:r>
      <w:r w:rsidR="009E6DDA">
        <w:t>t may be that the results of Study 1 are less biased than Study 2, because t</w:t>
      </w:r>
      <w:r>
        <w:t xml:space="preserve">he analysis of overspill effects in Study 2 is </w:t>
      </w:r>
      <w:r w:rsidR="009E6DDA">
        <w:t xml:space="preserve">particularly vulnerable </w:t>
      </w:r>
      <w:r>
        <w:t xml:space="preserve">to confounding (the </w:t>
      </w:r>
      <w:proofErr w:type="spellStart"/>
      <w:r>
        <w:t>Mappiness</w:t>
      </w:r>
      <w:proofErr w:type="spellEnd"/>
      <w:r>
        <w:t xml:space="preserve"> data were not designed for analysis</w:t>
      </w:r>
      <w:r w:rsidR="009E6DDA">
        <w:t xml:space="preserve"> on this time frame</w:t>
      </w:r>
      <w:r>
        <w:t xml:space="preserve">).  </w:t>
      </w:r>
      <w:r w:rsidR="00EF6826">
        <w:t>M</w:t>
      </w:r>
      <w:r w:rsidR="000F0CA4">
        <w:t xml:space="preserve">ore fundamentally, alcohol may have different impacts on happiness (Study </w:t>
      </w:r>
      <w:r w:rsidR="00AC6DD7">
        <w:t>2</w:t>
      </w:r>
      <w:r w:rsidR="000F0CA4">
        <w:t xml:space="preserve">) vs. life satisfaction (Study </w:t>
      </w:r>
      <w:r w:rsidR="00AC6DD7">
        <w:t>1</w:t>
      </w:r>
      <w:r w:rsidR="000F0CA4">
        <w:t xml:space="preserve">), or on </w:t>
      </w:r>
      <w:r w:rsidR="00A7640D">
        <w:t xml:space="preserve">unrepresentative, </w:t>
      </w:r>
      <w:r w:rsidR="000F0CA4">
        <w:t xml:space="preserve">relatively advantaged iPhone users (Study </w:t>
      </w:r>
      <w:r w:rsidR="00AC6DD7">
        <w:t>2</w:t>
      </w:r>
      <w:r w:rsidR="000F0CA4">
        <w:t xml:space="preserve">) vs. a nationally representative cohort of 30-42 year olds (Study </w:t>
      </w:r>
      <w:r w:rsidR="00AC6DD7">
        <w:t>1</w:t>
      </w:r>
      <w:r w:rsidR="000F0CA4">
        <w:t xml:space="preserve">).  </w:t>
      </w:r>
    </w:p>
    <w:p w14:paraId="3FBECCE9" w14:textId="7AC3DCC2" w:rsidR="009A02EC" w:rsidRDefault="009A02EC" w:rsidP="000D5565">
      <w:r>
        <w:t>The simplest interpretation of these results</w:t>
      </w:r>
      <w:r w:rsidR="009E6DDA">
        <w:t>, though,</w:t>
      </w:r>
      <w:r>
        <w:t xml:space="preserve"> is that alcohol has a noticeable impact on subjective wellbeing at the moment of drinking, but relatively little overspill to other moments, and a negative impact on those that develop alcohol problems.  </w:t>
      </w:r>
      <w:r w:rsidR="000F0CA4">
        <w:t xml:space="preserve">This also fits with our understanding of the </w:t>
      </w:r>
      <w:r w:rsidR="00EF6826">
        <w:t xml:space="preserve">plausible </w:t>
      </w:r>
      <w:r w:rsidR="000F0CA4">
        <w:t xml:space="preserve">relationship between alcohol and wellbeing from </w:t>
      </w:r>
      <w:r w:rsidR="00D40E5F">
        <w:t>the existing literature</w:t>
      </w:r>
      <w:r w:rsidR="000F0CA4">
        <w:t>.</w:t>
      </w:r>
      <w:r w:rsidR="000F0CA4" w:rsidRPr="000F0CA4">
        <w:t xml:space="preserve"> </w:t>
      </w:r>
      <w:r w:rsidR="000F0CA4">
        <w:t xml:space="preserve"> In considering the implications of these findings for policy, it is necessary to begin with their limitations.  </w:t>
      </w:r>
    </w:p>
    <w:p w14:paraId="07F2B57A" w14:textId="0528C50B" w:rsidR="008C47EB" w:rsidRDefault="008C47EB" w:rsidP="000D5565">
      <w:pPr>
        <w:pStyle w:val="Heading3"/>
      </w:pPr>
      <w:r>
        <w:t>Limitations</w:t>
      </w:r>
    </w:p>
    <w:p w14:paraId="66A1E61C" w14:textId="28A4ED0A" w:rsidR="00B07D80" w:rsidRDefault="00EF6826" w:rsidP="00504FE6">
      <w:r>
        <w:t xml:space="preserve">Study 1 </w:t>
      </w:r>
      <w:r w:rsidR="00B07D80">
        <w:t xml:space="preserve">adds to a sparse literature on the relationship between life satisfaction and alcohol, and </w:t>
      </w:r>
      <w:r>
        <w:t xml:space="preserve">Study 2 </w:t>
      </w:r>
      <w:r w:rsidR="00B07D80">
        <w:t xml:space="preserve">is the first to look at moment-to-moment fluctuations in drinking and happiness.  Nevertheless, uncertainties remain.  </w:t>
      </w:r>
      <w:r w:rsidR="00E21C8A">
        <w:t xml:space="preserve">It is unclear whether the smartphone-based findings would be replicated if the study were repeated on a </w:t>
      </w:r>
      <w:r w:rsidR="00A7640D">
        <w:t xml:space="preserve">more </w:t>
      </w:r>
      <w:r w:rsidR="00E21C8A">
        <w:t xml:space="preserve">representative sample. </w:t>
      </w:r>
      <w:r w:rsidR="00B07D80">
        <w:t>FE estimates have the strength</w:t>
      </w:r>
      <w:r w:rsidR="009B4AF0">
        <w:t>s</w:t>
      </w:r>
      <w:r w:rsidR="00B07D80">
        <w:t xml:space="preserve"> of accounting for unobserved, stable characteristics, </w:t>
      </w:r>
      <w:r w:rsidR="009B4AF0">
        <w:t xml:space="preserve">and of overcoming between-person differences in the </w:t>
      </w:r>
      <w:r w:rsidR="009B4AF0">
        <w:lastRenderedPageBreak/>
        <w:t xml:space="preserve">interpretation of wellbeing measures.  Yet </w:t>
      </w:r>
      <w:r w:rsidR="00B07D80">
        <w:t xml:space="preserve">they are still biased </w:t>
      </w:r>
      <w:r w:rsidR="009538D0" w:rsidRPr="000D5565">
        <w:t xml:space="preserve">if there are unobserved </w:t>
      </w:r>
      <w:r w:rsidR="009538D0" w:rsidRPr="000D5565">
        <w:rPr>
          <w:i/>
        </w:rPr>
        <w:t>time-varying</w:t>
      </w:r>
      <w:r w:rsidR="009538D0" w:rsidRPr="000D5565">
        <w:t xml:space="preserve"> factors that influence both drinking and wellbeing</w:t>
      </w:r>
      <w:r w:rsidR="003D4696">
        <w:t xml:space="preserve"> (e.g. traumatic life events)</w:t>
      </w:r>
      <w:r w:rsidR="009538D0" w:rsidRPr="000D5565">
        <w:t xml:space="preserve">, or if wellbeing </w:t>
      </w:r>
      <w:r w:rsidR="009538D0">
        <w:t xml:space="preserve">conversely </w:t>
      </w:r>
      <w:r w:rsidR="009538D0" w:rsidRPr="000D5565">
        <w:t xml:space="preserve">influences drinking </w:t>
      </w:r>
      <w:r w:rsidR="00756FDA">
        <w:fldChar w:fldCharType="begin"/>
      </w:r>
      <w:r w:rsidR="00923580">
        <w:instrText xml:space="preserve"> ADDIN EN.CITE &lt;EndNote&gt;&lt;Cite&gt;&lt;Author&gt;Boden&lt;/Author&gt;&lt;Year&gt;2011&lt;/Year&gt;&lt;RecNum&gt;2156&lt;/RecNum&gt;&lt;Prefix&gt;as in &lt;/Prefix&gt;&lt;DisplayText&gt;(as in Boden &amp;amp; Fergusson, 2011)&lt;/DisplayText&gt;&lt;record&gt;&lt;rec-number&gt;2156&lt;/rec-number&gt;&lt;foreign-keys&gt;&lt;key app="EN" db-id="sttprxrp6925duet9e6pf2zo2drwvda5wf02" timestamp="1393680929"&gt;2156&lt;/key&gt;&lt;/foreign-keys&gt;&lt;ref-type name="Journal Article"&gt;17&lt;/ref-type&gt;&lt;contributors&gt;&lt;authors&gt;&lt;author&gt;Boden, Joseph M.&lt;/author&gt;&lt;author&gt;Fergusson, David M.&lt;/author&gt;&lt;/authors&gt;&lt;/contributors&gt;&lt;titles&gt;&lt;title&gt;Alcohol and depression&lt;/title&gt;&lt;secondary-title&gt;Addiction&lt;/secondary-title&gt;&lt;/titles&gt;&lt;periodical&gt;&lt;full-title&gt;Addiction&lt;/full-title&gt;&lt;/periodical&gt;&lt;pages&gt;906-914&lt;/pages&gt;&lt;volume&gt;106&lt;/volume&gt;&lt;number&gt;5&lt;/number&gt;&lt;keywords&gt;&lt;keyword&gt;Alcohol&lt;/keyword&gt;&lt;keyword&gt;alcohol use disorder&lt;/keyword&gt;&lt;keyword&gt;causality&lt;/keyword&gt;&lt;keyword&gt;epidemiology&lt;/keyword&gt;&lt;keyword&gt;literature review&lt;/keyword&gt;&lt;keyword&gt;major depression&lt;/keyword&gt;&lt;/keywords&gt;&lt;dates&gt;&lt;year&gt;2011&lt;/year&gt;&lt;/dates&gt;&lt;publisher&gt;Blackwell Publishing Ltd&lt;/publisher&gt;&lt;isbn&gt;1360-0443&lt;/isbn&gt;&lt;urls&gt;&lt;related-urls&gt;&lt;url&gt;http://dx.doi.org/10.1111/j.1360-0443.2010.03351.x&lt;/url&gt;&lt;/related-urls&gt;&lt;/urls&gt;&lt;electronic-resource-num&gt;10.1111/j.1360-0443.2010.03351.x&lt;/electronic-resource-num&gt;&lt;/record&gt;&lt;/Cite&gt;&lt;/EndNote&gt;</w:instrText>
      </w:r>
      <w:r w:rsidR="00756FDA">
        <w:fldChar w:fldCharType="separate"/>
      </w:r>
      <w:r w:rsidR="00923580">
        <w:rPr>
          <w:noProof/>
        </w:rPr>
        <w:t>(as in Boden &amp; Fergusson, 2011)</w:t>
      </w:r>
      <w:r w:rsidR="00756FDA">
        <w:fldChar w:fldCharType="end"/>
      </w:r>
      <w:r w:rsidR="00B07D80">
        <w:t xml:space="preserve">.  </w:t>
      </w:r>
      <w:r w:rsidR="009A02EC">
        <w:t xml:space="preserve">The BCS70 adjusted FE results may </w:t>
      </w:r>
      <w:r w:rsidR="003D4696">
        <w:t xml:space="preserve">further </w:t>
      </w:r>
      <w:r w:rsidR="009A02EC">
        <w:t xml:space="preserve">be biased to the extent that they </w:t>
      </w:r>
      <w:r w:rsidR="009A02EC" w:rsidRPr="003D4696">
        <w:rPr>
          <w:i/>
        </w:rPr>
        <w:t>over</w:t>
      </w:r>
      <w:r w:rsidR="009A02EC">
        <w:t>-control for certain consequences of drinking, such as marital break-up</w:t>
      </w:r>
      <w:r>
        <w:t xml:space="preserve"> and </w:t>
      </w:r>
      <w:r w:rsidR="009A02EC">
        <w:t>unemployment.</w:t>
      </w:r>
    </w:p>
    <w:p w14:paraId="2099C92C" w14:textId="663A6196" w:rsidR="00B04FC0" w:rsidRDefault="00B07D80" w:rsidP="00504FE6">
      <w:r>
        <w:t xml:space="preserve">It is nevertheless unclear that alternate methods would produce more unbiased estimates.  Instrumental </w:t>
      </w:r>
      <w:r w:rsidR="00DE63C7">
        <w:t xml:space="preserve">variable </w:t>
      </w:r>
      <w:r>
        <w:t xml:space="preserve">analyses are theoretically unbiased, but it </w:t>
      </w:r>
      <w:r w:rsidR="0097101A">
        <w:t>appears unlikely</w:t>
      </w:r>
      <w:r>
        <w:t xml:space="preserve"> that there are any convincing instruments available for alcohol </w:t>
      </w:r>
      <w:r w:rsidR="00756FDA">
        <w:fldChar w:fldCharType="begin"/>
      </w:r>
      <w:r w:rsidR="00DF7C6A">
        <w:instrText xml:space="preserve"> ADDIN EN.CITE &lt;EndNote&gt;&lt;Cite&gt;&lt;Author&gt;French&lt;/Author&gt;&lt;Year&gt;2011&lt;/Year&gt;&lt;RecNum&gt;2035&lt;/RecNum&gt;&lt;DisplayText&gt;(French &amp;amp; Popovici, 2011)&lt;/DisplayText&gt;&lt;record&gt;&lt;rec-number&gt;2035&lt;/rec-number&gt;&lt;foreign-keys&gt;&lt;key app="EN" db-id="sttprxrp6925duet9e6pf2zo2drwvda5wf02" timestamp="0"&gt;2035&lt;/key&gt;&lt;/foreign-keys&gt;&lt;ref-type name="Journal Article"&gt;17&lt;/ref-type&gt;&lt;contributors&gt;&lt;authors&gt;&lt;author&gt;French, M. T.&lt;/author&gt;&lt;author&gt;Popovici,Ioana&lt;/author&gt;&lt;/authors&gt;&lt;/contributors&gt;&lt;titles&gt;&lt;title&gt;That instrument is lousy! In search of agreement when using instrumental variables estimation in substance use research&lt;/title&gt;&lt;secondary-title&gt;Health Economics&lt;/secondary-title&gt;&lt;/titles&gt;&lt;periodical&gt;&lt;full-title&gt;Health Economics&lt;/full-title&gt;&lt;/periodical&gt;&lt;pages&gt;127-146&lt;/pages&gt;&lt;volume&gt;20&lt;/volume&gt;&lt;number&gt;2&lt;/number&gt;&lt;dates&gt;&lt;year&gt;2011&lt;/year&gt;&lt;/dates&gt;&lt;urls&gt;&lt;/urls&gt;&lt;electronic-resource-num&gt;DOI: 10.1002/hec.1572&lt;/electronic-resource-num&gt;&lt;/record&gt;&lt;/Cite&gt;&lt;/EndNote&gt;</w:instrText>
      </w:r>
      <w:r w:rsidR="00756FDA">
        <w:fldChar w:fldCharType="separate"/>
      </w:r>
      <w:r w:rsidR="00DF7C6A">
        <w:rPr>
          <w:noProof/>
        </w:rPr>
        <w:t>(French &amp; Popovici, 2011)</w:t>
      </w:r>
      <w:r w:rsidR="00756FDA">
        <w:fldChar w:fldCharType="end"/>
      </w:r>
      <w:r w:rsidR="009538D0" w:rsidRPr="000D5565">
        <w:t xml:space="preserve">.  </w:t>
      </w:r>
      <w:r>
        <w:t xml:space="preserve">Another alternative is to look at policy </w:t>
      </w:r>
      <w:r w:rsidR="003956CF">
        <w:t>variation over time or between states/regions</w:t>
      </w:r>
      <w:r w:rsidR="00F00522">
        <w:t xml:space="preserve"> </w:t>
      </w:r>
      <w:r w:rsidR="00756FDA">
        <w:fldChar w:fldCharType="begin"/>
      </w:r>
      <w:r w:rsidR="003956CF">
        <w:instrText xml:space="preserve"> ADDIN EN.CITE &lt;EndNote&gt;&lt;Cite&gt;&lt;Author&gt;Gruber&lt;/Author&gt;&lt;Year&gt;2005&lt;/Year&gt;&lt;RecNum&gt;2165&lt;/RecNum&gt;&lt;Prefix&gt;e.g. &lt;/Prefix&gt;&lt;DisplayText&gt;(e.g. Gruber &amp;amp; Mullainathan, 2005)&lt;/DisplayText&gt;&lt;record&gt;&lt;rec-number&gt;2165&lt;/rec-number&gt;&lt;foreign-keys&gt;&lt;key app="EN" db-id="sttprxrp6925duet9e6pf2zo2drwvda5wf02" timestamp="1399301717"&gt;2165&lt;/key&gt;&lt;/foreign-keys&gt;&lt;ref-type name="Journal Article"&gt;17&lt;/ref-type&gt;&lt;contributors&gt;&lt;authors&gt;&lt;author&gt;Jonathan H Gruber&lt;/author&gt;&lt;author&gt;Sendhil Mullainathan&lt;/author&gt;&lt;/authors&gt;&lt;/contributors&gt;&lt;titles&gt;&lt;title&gt;Do Cigarette Taxes Make Smokers Happier&lt;/title&gt;&lt;secondary-title&gt;The B.E. Journal of Economic Analysis &amp;amp; Policy&lt;/secondary-title&gt;&lt;/titles&gt;&lt;periodical&gt;&lt;full-title&gt;The B.E. Journal of Economic Analysis &amp;amp; Policy&lt;/full-title&gt;&lt;/periodical&gt;&lt;pages&gt;1-43&lt;/pages&gt;&lt;volume&gt;5&lt;/volume&gt;&lt;number&gt;1&lt;/number&gt;&lt;dates&gt;&lt;year&gt;2005&lt;/year&gt;&lt;/dates&gt;&lt;urls&gt;&lt;/urls&gt;&lt;research-notes&gt;An NBER paper from 2002 - but they clearly found it slow and hard to get this into a good journal.&lt;/research-notes&gt;&lt;/record&gt;&lt;/Cite&gt;&lt;/EndNote&gt;</w:instrText>
      </w:r>
      <w:r w:rsidR="00756FDA">
        <w:fldChar w:fldCharType="separate"/>
      </w:r>
      <w:r w:rsidR="003956CF">
        <w:rPr>
          <w:noProof/>
        </w:rPr>
        <w:t>(e.g. Gruber &amp; Mullainathan, 2005)</w:t>
      </w:r>
      <w:r w:rsidR="00756FDA">
        <w:fldChar w:fldCharType="end"/>
      </w:r>
      <w:r w:rsidR="003956CF">
        <w:t>,</w:t>
      </w:r>
      <w:r w:rsidR="003A05B0">
        <w:t xml:space="preserve"> </w:t>
      </w:r>
      <w:r w:rsidR="003956CF">
        <w:t xml:space="preserve">but </w:t>
      </w:r>
      <w:r>
        <w:t>state taxes are more likely to indicate anti-</w:t>
      </w:r>
      <w:r w:rsidR="003956CF">
        <w:t xml:space="preserve">alcohol </w:t>
      </w:r>
      <w:r>
        <w:t xml:space="preserve">sentiment than </w:t>
      </w:r>
      <w:r w:rsidR="00A95C30">
        <w:t xml:space="preserve">to </w:t>
      </w:r>
      <w:r>
        <w:t>approximate a natural experiment</w:t>
      </w:r>
      <w:r w:rsidR="00F00522">
        <w:t xml:space="preserve"> </w:t>
      </w:r>
      <w:r w:rsidR="00756FDA">
        <w:fldChar w:fldCharType="begin"/>
      </w:r>
      <w:r w:rsidR="00DF7C6A">
        <w:instrText xml:space="preserve"> ADDIN EN.CITE &lt;EndNote&gt;&lt;Cite&gt;&lt;Author&gt;French&lt;/Author&gt;&lt;Year&gt;2011&lt;/Year&gt;&lt;RecNum&gt;2035&lt;/RecNum&gt;&lt;DisplayText&gt;(French &amp;amp; Popovici, 2011)&lt;/DisplayText&gt;&lt;record&gt;&lt;rec-number&gt;2035&lt;/rec-number&gt;&lt;foreign-keys&gt;&lt;key app="EN" db-id="sttprxrp6925duet9e6pf2zo2drwvda5wf02" timestamp="0"&gt;2035&lt;/key&gt;&lt;/foreign-keys&gt;&lt;ref-type name="Journal Article"&gt;17&lt;/ref-type&gt;&lt;contributors&gt;&lt;authors&gt;&lt;author&gt;French, M. T.&lt;/author&gt;&lt;author&gt;Popovici,Ioana&lt;/author&gt;&lt;/authors&gt;&lt;/contributors&gt;&lt;titles&gt;&lt;title&gt;That instrument is lousy! In search of agreement when using instrumental variables estimation in substance use research&lt;/title&gt;&lt;secondary-title&gt;Health Economics&lt;/secondary-title&gt;&lt;/titles&gt;&lt;periodical&gt;&lt;full-title&gt;Health Economics&lt;/full-title&gt;&lt;/periodical&gt;&lt;pages&gt;127-146&lt;/pages&gt;&lt;volume&gt;20&lt;/volume&gt;&lt;number&gt;2&lt;/number&gt;&lt;dates&gt;&lt;year&gt;2011&lt;/year&gt;&lt;/dates&gt;&lt;urls&gt;&lt;/urls&gt;&lt;electronic-resource-num&gt;DOI: 10.1002/hec.1572&lt;/electronic-resource-num&gt;&lt;/record&gt;&lt;/Cite&gt;&lt;/EndNote&gt;</w:instrText>
      </w:r>
      <w:r w:rsidR="00756FDA">
        <w:fldChar w:fldCharType="separate"/>
      </w:r>
      <w:r w:rsidR="00DF7C6A">
        <w:rPr>
          <w:noProof/>
        </w:rPr>
        <w:t>(French &amp; Popovici, 2011)</w:t>
      </w:r>
      <w:r w:rsidR="00756FDA">
        <w:fldChar w:fldCharType="end"/>
      </w:r>
      <w:r w:rsidR="003A05B0">
        <w:t>.</w:t>
      </w:r>
      <w:r>
        <w:t xml:space="preserve"> </w:t>
      </w:r>
      <w:r w:rsidR="003A05B0">
        <w:t>Moreover, i</w:t>
      </w:r>
      <w:r>
        <w:t>nterpreting findings would be further complicated by the likely non-linear impact</w:t>
      </w:r>
      <w:r w:rsidR="003A05B0">
        <w:t xml:space="preserve"> of alcohol. For example, </w:t>
      </w:r>
      <w:proofErr w:type="spellStart"/>
      <w:r w:rsidR="003A05B0" w:rsidRPr="003A05B0">
        <w:t>Yörük</w:t>
      </w:r>
      <w:proofErr w:type="spellEnd"/>
      <w:r w:rsidR="003A05B0" w:rsidRPr="003A05B0">
        <w:t xml:space="preserve"> &amp; </w:t>
      </w:r>
      <w:proofErr w:type="spellStart"/>
      <w:r w:rsidR="003A05B0" w:rsidRPr="003A05B0">
        <w:t>Yörük</w:t>
      </w:r>
      <w:proofErr w:type="spellEnd"/>
      <w:r>
        <w:t xml:space="preserve"> </w:t>
      </w:r>
      <w:r w:rsidR="00756FDA">
        <w:rPr>
          <w:noProof/>
        </w:rPr>
        <w:fldChar w:fldCharType="begin"/>
      </w:r>
      <w:r w:rsidR="003A05B0">
        <w:rPr>
          <w:noProof/>
        </w:rPr>
        <w:instrText xml:space="preserve"> ADDIN EN.CITE &lt;EndNote&gt;&lt;Cite ExcludeAuth="1"&gt;&lt;Author&gt;Yörük&lt;/Author&gt;&lt;Year&gt;2012&lt;/Year&gt;&lt;RecNum&gt;2186&lt;/RecNum&gt;&lt;DisplayText&gt;(2012)&lt;/DisplayText&gt;&lt;record&gt;&lt;rec-number&gt;2186&lt;/rec-number&gt;&lt;foreign-keys&gt;&lt;key app="EN" db-id="sttprxrp6925duet9e6pf2zo2drwvda5wf02" timestamp="1399645421"&gt;2186&lt;/key&gt;&lt;/foreign-keys&gt;&lt;ref-type name="Journal Article"&gt;17&lt;/ref-type&gt;&lt;contributors&gt;&lt;authors&gt;&lt;author&gt;Yörük, Ertan Ceren&lt;/author&gt;&lt;author&gt;Yörük, Barış K.&lt;/author&gt;&lt;/authors&gt;&lt;/contributors&gt;&lt;titles&gt;&lt;title&gt;The impact of drinking on psychological well-being: Evidence from minimum drinking age laws in the United States&lt;/title&gt;&lt;secondary-title&gt;Social Science &amp;amp; Medicine&lt;/secondary-title&gt;&lt;/titles&gt;&lt;periodical&gt;&lt;full-title&gt;Social Science &amp;amp; Medicine&lt;/full-title&gt;&lt;/periodical&gt;&lt;pages&gt;1844-1854&lt;/pages&gt;&lt;volume&gt;75&lt;/volume&gt;&lt;number&gt;10&lt;/number&gt;&lt;keywords&gt;&lt;keyword&gt;United States&lt;/keyword&gt;&lt;keyword&gt;Alcohol consumption&lt;/keyword&gt;&lt;keyword&gt;Minimum legal drinking age&lt;/keyword&gt;&lt;keyword&gt;Psychological well-being&lt;/keyword&gt;&lt;/keywords&gt;&lt;dates&gt;&lt;year&gt;2012&lt;/year&gt;&lt;pub-dates&gt;&lt;date&gt;11//&lt;/date&gt;&lt;/pub-dates&gt;&lt;/dates&gt;&lt;isbn&gt;0277-9536&lt;/isbn&gt;&lt;urls&gt;&lt;related-urls&gt;&lt;url&gt;http://www.sciencedirect.com/science/article/pii/S0277953612005618&lt;/url&gt;&lt;/related-urls&gt;&lt;/urls&gt;&lt;electronic-resource-num&gt;http://dx.doi.org/10.1016/j.socscimed.2012.07.020&lt;/electronic-resource-num&gt;&lt;/record&gt;&lt;/Cite&gt;&lt;/EndNote&gt;</w:instrText>
      </w:r>
      <w:r w:rsidR="00756FDA">
        <w:rPr>
          <w:noProof/>
        </w:rPr>
        <w:fldChar w:fldCharType="separate"/>
      </w:r>
      <w:r w:rsidR="003A05B0">
        <w:rPr>
          <w:noProof/>
        </w:rPr>
        <w:t>(2012)</w:t>
      </w:r>
      <w:r w:rsidR="00756FDA">
        <w:rPr>
          <w:noProof/>
        </w:rPr>
        <w:fldChar w:fldCharType="end"/>
      </w:r>
      <w:r w:rsidR="003A05B0">
        <w:rPr>
          <w:noProof/>
        </w:rPr>
        <w:t xml:space="preserve"> use a regression discontinuity design to </w:t>
      </w:r>
      <w:r w:rsidR="003956CF">
        <w:rPr>
          <w:noProof/>
        </w:rPr>
        <w:t xml:space="preserve">investigate </w:t>
      </w:r>
      <w:r w:rsidR="003A05B0">
        <w:rPr>
          <w:noProof/>
        </w:rPr>
        <w:t>students’ wellbeing as they reach the minimum legal drinking age</w:t>
      </w:r>
      <w:r w:rsidR="00911C4D">
        <w:rPr>
          <w:noProof/>
        </w:rPr>
        <w:t xml:space="preserve"> – but t</w:t>
      </w:r>
      <w:r w:rsidR="00A7640D">
        <w:rPr>
          <w:noProof/>
        </w:rPr>
        <w:t xml:space="preserve">heir </w:t>
      </w:r>
      <w:r w:rsidR="003A05B0">
        <w:rPr>
          <w:noProof/>
        </w:rPr>
        <w:t xml:space="preserve">null </w:t>
      </w:r>
      <w:r w:rsidR="00A7640D">
        <w:rPr>
          <w:noProof/>
        </w:rPr>
        <w:t xml:space="preserve">finding </w:t>
      </w:r>
      <w:r w:rsidR="003A05B0">
        <w:rPr>
          <w:noProof/>
        </w:rPr>
        <w:t xml:space="preserve">could </w:t>
      </w:r>
      <w:r w:rsidR="00911C4D">
        <w:rPr>
          <w:noProof/>
        </w:rPr>
        <w:t xml:space="preserve">either indicate no effect, or it could </w:t>
      </w:r>
      <w:r w:rsidR="003A05B0">
        <w:rPr>
          <w:noProof/>
        </w:rPr>
        <w:t xml:space="preserve">conceal light-drinking students becoming happier and heavier-drinking students </w:t>
      </w:r>
      <w:r w:rsidR="00A7640D">
        <w:rPr>
          <w:noProof/>
        </w:rPr>
        <w:t xml:space="preserve">simultaneously </w:t>
      </w:r>
      <w:r w:rsidR="003A05B0">
        <w:rPr>
          <w:noProof/>
        </w:rPr>
        <w:t>becoming less happy</w:t>
      </w:r>
      <w:r>
        <w:t xml:space="preserve">.  The </w:t>
      </w:r>
      <w:r w:rsidR="009A02EC">
        <w:t xml:space="preserve">most useful further </w:t>
      </w:r>
      <w:r w:rsidR="009B4AF0">
        <w:t xml:space="preserve">contributions to knowledge </w:t>
      </w:r>
      <w:r>
        <w:t>would seem to be from event-level data that contains more detail on the nature of consumption within each drinking occasion</w:t>
      </w:r>
      <w:r w:rsidR="00911C4D">
        <w:t xml:space="preserve">, </w:t>
      </w:r>
      <w:r w:rsidR="003956CF">
        <w:t>but even here</w:t>
      </w:r>
      <w:r w:rsidR="009B4AF0">
        <w:t xml:space="preserve">, </w:t>
      </w:r>
      <w:r>
        <w:t xml:space="preserve">uncertainties are likely to remain. </w:t>
      </w:r>
    </w:p>
    <w:p w14:paraId="6449DD22" w14:textId="77777777" w:rsidR="00403234" w:rsidRDefault="00403234" w:rsidP="00504FE6">
      <w:pPr>
        <w:pStyle w:val="Heading3"/>
        <w:sectPr w:rsidR="00403234" w:rsidSect="008A6F31">
          <w:type w:val="continuous"/>
          <w:pgSz w:w="11906" w:h="16838"/>
          <w:pgMar w:top="1440" w:right="1440" w:bottom="1440" w:left="1440" w:header="708" w:footer="708" w:gutter="0"/>
          <w:cols w:space="708"/>
          <w:docGrid w:linePitch="360"/>
        </w:sectPr>
      </w:pPr>
    </w:p>
    <w:p w14:paraId="33C8F383" w14:textId="14FDB65D" w:rsidR="00B07D80" w:rsidRDefault="00B07D80" w:rsidP="00504FE6">
      <w:pPr>
        <w:pStyle w:val="Heading3"/>
      </w:pPr>
      <w:r>
        <w:lastRenderedPageBreak/>
        <w:t>Guidance for policymakers</w:t>
      </w:r>
    </w:p>
    <w:p w14:paraId="6444A07F" w14:textId="4F5AEEF9" w:rsidR="008D7FEC" w:rsidRDefault="00E2288B" w:rsidP="008D7FEC">
      <w:r>
        <w:t>The most plausible explanation of our results is that alcohol leads to gains in happiness at the moment of drinking, but little overspill to other moments, and reduced life satisfaction among those who develop alcohol problems</w:t>
      </w:r>
      <w:r w:rsidR="00B07D80">
        <w:t xml:space="preserve">. </w:t>
      </w:r>
      <w:r w:rsidR="00704F5B">
        <w:t xml:space="preserve"> </w:t>
      </w:r>
      <w:r w:rsidR="008D7FEC">
        <w:t xml:space="preserve">It should also be noted that we have </w:t>
      </w:r>
      <w:r w:rsidR="00704F5B">
        <w:t xml:space="preserve">focused on the impacts of alcohol on the wellbeing of the drinker, but a full account of the wellbeing impacts of alcohol policies must also consider </w:t>
      </w:r>
      <w:r w:rsidR="00911C4D">
        <w:t xml:space="preserve">considerable </w:t>
      </w:r>
      <w:r w:rsidR="00704F5B">
        <w:t xml:space="preserve">harms to others </w:t>
      </w:r>
      <w:r w:rsidR="00756FDA">
        <w:fldChar w:fldCharType="begin"/>
      </w:r>
      <w:r w:rsidR="00DF7C6A">
        <w:instrText xml:space="preserve"> ADDIN EN.CITE &lt;EndNote&gt;&lt;Cite&gt;&lt;Author&gt;Laslett&lt;/Author&gt;&lt;Year&gt;2010&lt;/Year&gt;&lt;RecNum&gt;2209&lt;/RecNum&gt;&lt;DisplayText&gt;(Johansson et al., 2006; Laslett et al., 2010)&lt;/DisplayText&gt;&lt;record&gt;&lt;rec-number&gt;2209&lt;/rec-number&gt;&lt;foreign-keys&gt;&lt;key app="EN" db-id="sttprxrp6925duet9e6pf2zo2drwvda5wf02" timestamp="1406203894"&gt;2209&lt;/key&gt;&lt;/foreign-keys&gt;&lt;ref-type name="Report"&gt;27&lt;/ref-type&gt;&lt;contributors&gt;&lt;authors&gt;&lt;author&gt;Anne-Marie Laslett&lt;/author&gt;&lt;author&gt;Paul Catalano&lt;/author&gt;&lt;author&gt;Tanya Chikritzhs&lt;/author&gt;&lt;author&gt;Caroline Dale&lt;/author&gt;&lt;author&gt;Christopher Doran&lt;/author&gt;&lt;author&gt;Jason Ferris&lt;/author&gt;&lt;author&gt;Thameemul (Ansari) Jainullabudeen&lt;/author&gt;&lt;author&gt;Michael Livingston&lt;/author&gt;&lt;author&gt;Sharon Matthews&lt;/author&gt;&lt;author&gt;Janette Mugavin&lt;/author&gt;&lt;author&gt;Robin Room&lt;/author&gt;&lt;author&gt;Morgan Schlotterlein&lt;/author&gt;&lt;author&gt;Claire Wilkinson&lt;/author&gt;&lt;/authors&gt;&lt;/contributors&gt;&lt;titles&gt;&lt;title&gt;The range and magnitude of alcohol&amp;apos;s harm to others&lt;/title&gt;&lt;/titles&gt;&lt;dates&gt;&lt;year&gt;2010&lt;/year&gt;&lt;/dates&gt;&lt;pub-location&gt;Deakin West, ACT&lt;/pub-location&gt;&lt;publisher&gt;Alcohol Education and Rehabilitation Foundation&lt;/publisher&gt;&lt;urls&gt;&lt;/urls&gt;&lt;/record&gt;&lt;/Cite&gt;&lt;Cite&gt;&lt;Author&gt;Johansson&lt;/Author&gt;&lt;Year&gt;2006&lt;/Year&gt;&lt;RecNum&gt;1864&lt;/RecNum&gt;&lt;record&gt;&lt;rec-number&gt;1864&lt;/rec-number&gt;&lt;foreign-keys&gt;&lt;key app="EN" db-id="sttprxrp6925duet9e6pf2zo2drwvda5wf02" timestamp="0"&gt;1864&lt;/key&gt;&lt;/foreign-keys&gt;&lt;ref-type name="Report"&gt;27&lt;/ref-type&gt;&lt;contributors&gt;&lt;authors&gt;&lt;author&gt;Johansson,P&lt;/author&gt;&lt;author&gt;Jarl, J.&lt;/author&gt;&lt;author&gt;Eriksson, A.&lt;/author&gt;&lt;author&gt;Eriksson,M&lt;/author&gt;&lt;author&gt;Gerdtham,U-G&lt;/author&gt;&lt;author&gt;Hemstrom, O&lt;/author&gt;&lt;author&gt;Hradilova Selin, K.&lt;/author&gt;&lt;author&gt;Lenke, L.&lt;/author&gt;&lt;author&gt;Ramstedt, M.&lt;/author&gt;&lt;author&gt;Room, R&lt;/author&gt;&lt;/authors&gt;&lt;/contributors&gt;&lt;titles&gt;&lt;title&gt;The social costs of alcohol in Sweden 2002&lt;/title&gt;&lt;secondary-title&gt;SoRAD Rapportserie, nr 36&lt;/secondary-title&gt;&lt;/titles&gt;&lt;dates&gt;&lt;year&gt;2006&lt;/year&gt;&lt;/dates&gt;&lt;pub-location&gt;Stockholm&lt;/pub-location&gt;&lt;publisher&gt;Stockholms Universitet, SoRAD&lt;/publisher&gt;&lt;urls&gt;&lt;/urls&gt;&lt;/record&gt;&lt;/Cite&gt;&lt;/EndNote&gt;</w:instrText>
      </w:r>
      <w:r w:rsidR="00756FDA">
        <w:fldChar w:fldCharType="separate"/>
      </w:r>
      <w:r w:rsidR="00DF7C6A">
        <w:rPr>
          <w:noProof/>
        </w:rPr>
        <w:t>(Johansson et al., 2006; Laslett et al., 2010)</w:t>
      </w:r>
      <w:r w:rsidR="00756FDA">
        <w:fldChar w:fldCharType="end"/>
      </w:r>
      <w:r w:rsidR="00704F5B">
        <w:t xml:space="preserve">. </w:t>
      </w:r>
      <w:r w:rsidR="008D7FEC">
        <w:t xml:space="preserve">Rather than trying to meet policymakers’ requests for a single number, a better approach may </w:t>
      </w:r>
      <w:r w:rsidR="003A3002">
        <w:t xml:space="preserve">be </w:t>
      </w:r>
      <w:r w:rsidR="008D7FEC">
        <w:t xml:space="preserve">an evidence-informed </w:t>
      </w:r>
      <w:r w:rsidR="00911C4D">
        <w:t xml:space="preserve">narrative </w:t>
      </w:r>
      <w:r w:rsidR="008D7FEC">
        <w:t xml:space="preserve">as to the possible impacts of alcohol policies on different measures of wellbeing for different </w:t>
      </w:r>
      <w:r w:rsidR="008D7FEC">
        <w:lastRenderedPageBreak/>
        <w:t>groups (as we recommended in (</w:t>
      </w:r>
      <w:r w:rsidR="008D7FEC" w:rsidRPr="004327E6">
        <w:rPr>
          <w:color w:val="FF0000"/>
        </w:rPr>
        <w:t>AUTHOR</w:t>
      </w:r>
      <w:r w:rsidR="008D7FEC">
        <w:rPr>
          <w:color w:val="FF0000"/>
        </w:rPr>
        <w:t xml:space="preserve"> 2012</w:t>
      </w:r>
      <w:r w:rsidR="008D7FEC">
        <w:t xml:space="preserve">), and as Room </w:t>
      </w:r>
      <w:r w:rsidR="008D7FEC">
        <w:fldChar w:fldCharType="begin"/>
      </w:r>
      <w:r w:rsidR="008D7FEC">
        <w:instrText xml:space="preserve"> ADDIN EN.CITE &lt;EndNote&gt;&lt;Cite ExcludeAuth="1"&gt;&lt;Author&gt;Room&lt;/Author&gt;&lt;Year&gt;2000&lt;/Year&gt;&lt;RecNum&gt;2187&lt;/RecNum&gt;&lt;DisplayText&gt;(2000)&lt;/DisplayText&gt;&lt;record&gt;&lt;rec-number&gt;2187&lt;/rec-number&gt;&lt;foreign-keys&gt;&lt;key app="EN" db-id="sttprxrp6925duet9e6pf2zo2drwvda5wf02" timestamp="1399646565"&gt;2187&lt;/key&gt;&lt;/foreign-keys&gt;&lt;ref-type name="Journal Article"&gt;17&lt;/ref-type&gt;&lt;contributors&gt;&lt;authors&gt;&lt;author&gt;Room, Robin&lt;/author&gt;&lt;/authors&gt;&lt;/contributors&gt;&lt;titles&gt;&lt;title&gt;The more drinking, the more fun; but is there a calculus of fun, and should it drive policy?&lt;/title&gt;&lt;secondary-title&gt;Drug and Alcohol Dependence&lt;/secondary-title&gt;&lt;/titles&gt;&lt;periodical&gt;&lt;full-title&gt;Drug and Alcohol Dependence&lt;/full-title&gt;&lt;/periodical&gt;&lt;pages&gt;249-250&lt;/pages&gt;&lt;volume&gt;60&lt;/volume&gt;&lt;number&gt;3&lt;/number&gt;&lt;dates&gt;&lt;year&gt;2000&lt;/year&gt;&lt;pub-dates&gt;&lt;date&gt;11/10/&lt;/date&gt;&lt;/pub-dates&gt;&lt;/dates&gt;&lt;isbn&gt;0376-8716&lt;/isbn&gt;&lt;urls&gt;&lt;related-urls&gt;&lt;url&gt;http://www.sciencedirect.com/science/article/pii/S0376871600001344&lt;/url&gt;&lt;/related-urls&gt;&lt;/urls&gt;&lt;electronic-resource-num&gt;http://dx.doi.org/10.1016/S0376-8716(00)00134-4&lt;/electronic-resource-num&gt;&lt;/record&gt;&lt;/Cite&gt;&lt;/EndNote&gt;</w:instrText>
      </w:r>
      <w:r w:rsidR="008D7FEC">
        <w:fldChar w:fldCharType="separate"/>
      </w:r>
      <w:r w:rsidR="008D7FEC">
        <w:rPr>
          <w:noProof/>
        </w:rPr>
        <w:t>(2000)</w:t>
      </w:r>
      <w:r w:rsidR="008D7FEC">
        <w:fldChar w:fldCharType="end"/>
      </w:r>
      <w:r w:rsidR="008D7FEC">
        <w:t xml:space="preserve"> has argued). </w:t>
      </w:r>
      <w:r w:rsidR="008D7FEC" w:rsidRPr="00A37D64">
        <w:t xml:space="preserve"> </w:t>
      </w:r>
      <w:r w:rsidR="008D7FEC">
        <w:t xml:space="preserve">It is primarily policymakers’ responsibility to </w:t>
      </w:r>
      <w:r w:rsidR="008C725A">
        <w:t xml:space="preserve">trade these </w:t>
      </w:r>
      <w:r w:rsidR="008D7FEC">
        <w:t>off</w:t>
      </w:r>
      <w:r w:rsidR="008C725A">
        <w:t xml:space="preserve"> against one another</w:t>
      </w:r>
      <w:r w:rsidR="008D7FEC">
        <w:t xml:space="preserve">, which is no easy task.  </w:t>
      </w:r>
    </w:p>
    <w:p w14:paraId="65ED8863" w14:textId="281CF3E4" w:rsidR="008D7FEC" w:rsidRPr="00A37D64" w:rsidRDefault="008D7FEC" w:rsidP="008D7FEC">
      <w:r>
        <w:t xml:space="preserve">In principle, </w:t>
      </w:r>
      <w:r w:rsidR="00911C4D">
        <w:t xml:space="preserve">this narrative </w:t>
      </w:r>
      <w:r w:rsidR="008C725A">
        <w:t xml:space="preserve">could include </w:t>
      </w:r>
      <w:r>
        <w:t>estimates of the average wellbeing impact</w:t>
      </w:r>
      <w:r w:rsidR="008C725A">
        <w:t>s</w:t>
      </w:r>
      <w:r>
        <w:t xml:space="preserve"> of alcohol policies according to different wellbeing measures.  </w:t>
      </w:r>
      <w:r w:rsidR="00911C4D">
        <w:t>For example, t</w:t>
      </w:r>
      <w:r>
        <w:t xml:space="preserve">he state of the art in </w:t>
      </w:r>
      <w:r>
        <w:rPr>
          <w:i/>
        </w:rPr>
        <w:t xml:space="preserve">ex ante </w:t>
      </w:r>
      <w:r>
        <w:t>policy assessment</w:t>
      </w:r>
      <w:r w:rsidR="00911C4D">
        <w:t xml:space="preserve">, </w:t>
      </w:r>
      <w:r>
        <w:t xml:space="preserve">the Sheffield Alcohol Policy Model </w:t>
      </w:r>
      <w:r w:rsidRPr="00A37D64">
        <w:rPr>
          <w:noProof/>
        </w:rPr>
        <w:fldChar w:fldCharType="begin"/>
      </w:r>
      <w:r w:rsidRPr="00A37D64">
        <w:rPr>
          <w:noProof/>
        </w:rPr>
        <w:instrText xml:space="preserve"> ADDIN EN.CITE &lt;EndNote&gt;&lt;Cite&gt;&lt;Author&gt;Purshouse&lt;/Author&gt;&lt;Year&gt;2009&lt;/Year&gt;&lt;RecNum&gt;2163&lt;/RecNum&gt;&lt;DisplayText&gt;(Purshouse et al., 2009)&lt;/DisplayText&gt;&lt;record&gt;&lt;rec-number&gt;2163&lt;/rec-number&gt;&lt;foreign-keys&gt;&lt;key app="EN" db-id="sttprxrp6925duet9e6pf2zo2drwvda5wf02" timestamp="1399290455"&gt;2163&lt;/key&gt;&lt;/foreign-keys&gt;&lt;ref-type name="Report"&gt;27&lt;/ref-type&gt;&lt;contributors&gt;&lt;authors&gt;&lt;author&gt;Robin Purshouse&lt;/author&gt;&lt;author&gt;Alan Brennan&lt;/author&gt;&lt;author&gt;Nick Latimer&lt;/author&gt;&lt;author&gt;Yang Meng&lt;/author&gt;&lt;author&gt;Rachid Rafia&lt;/author&gt;&lt;author&gt;Rachel Jackson&lt;/author&gt;&lt;author&gt;Petra Meier&lt;/author&gt;&lt;/authors&gt;&lt;/contributors&gt;&lt;titles&gt;&lt;title&gt;Modelling to assess the effectiveness and cost-effectiveness of public health related strategies and interventions to reduce alcohol attributable harm in England using the Sheffield Alcohol Policy Model version 2.0&lt;/title&gt;&lt;/titles&gt;&lt;dates&gt;&lt;year&gt;2009&lt;/year&gt;&lt;/dates&gt;&lt;pub-location&gt;Sheffield&lt;/pub-location&gt;&lt;publisher&gt;Report to the NICE Public Health Programme Development Group&lt;/publisher&gt;&lt;urls&gt;&lt;/urls&gt;&lt;/record&gt;&lt;/Cite&gt;&lt;/EndNote&gt;</w:instrText>
      </w:r>
      <w:r w:rsidRPr="00A37D64">
        <w:rPr>
          <w:noProof/>
        </w:rPr>
        <w:fldChar w:fldCharType="separate"/>
      </w:r>
      <w:r w:rsidRPr="00A37D64">
        <w:rPr>
          <w:noProof/>
        </w:rPr>
        <w:t>(Purshouse et al., 2009)</w:t>
      </w:r>
      <w:r w:rsidRPr="00A37D64">
        <w:rPr>
          <w:noProof/>
        </w:rPr>
        <w:fldChar w:fldCharType="end"/>
      </w:r>
      <w:r w:rsidR="00911C4D">
        <w:rPr>
          <w:noProof/>
        </w:rPr>
        <w:t>,</w:t>
      </w:r>
      <w:r>
        <w:t xml:space="preserve"> combines estimates of the link between alcohol consumption and key outcomes</w:t>
      </w:r>
      <w:r w:rsidR="00911C4D">
        <w:t xml:space="preserve"> (</w:t>
      </w:r>
      <w:r>
        <w:t>such as the present study</w:t>
      </w:r>
      <w:r w:rsidR="00911C4D">
        <w:t>)</w:t>
      </w:r>
      <w:r>
        <w:t xml:space="preserve"> with estimates of the impact of policies on levels</w:t>
      </w:r>
      <w:r w:rsidR="00911C4D">
        <w:t>/</w:t>
      </w:r>
      <w:r>
        <w:t xml:space="preserve">patterns of alcohol consumption.  However, Study 2 does not provide the </w:t>
      </w:r>
      <w:r w:rsidR="008C725A">
        <w:t xml:space="preserve">type </w:t>
      </w:r>
      <w:r>
        <w:t>of risk functions (based either on binge-drinking or average consumption) used in the Sheffield model.  It would take a</w:t>
      </w:r>
      <w:r w:rsidR="008C725A">
        <w:t xml:space="preserve"> further </w:t>
      </w:r>
      <w:r>
        <w:t xml:space="preserve">study with considerably greater event-level detail, combined with re-structuring of the Sheffield model to accommodate event-level data, </w:t>
      </w:r>
      <w:r w:rsidR="008C725A">
        <w:t>to produce estimates of net wellbeing impacts of different policies  – and this may be more than researchers are able to provide, at least in the short-term.</w:t>
      </w:r>
    </w:p>
    <w:p w14:paraId="38211318" w14:textId="07E7C285" w:rsidR="008C725A" w:rsidRDefault="008C725A">
      <w:r>
        <w:t xml:space="preserve">A further difficulty is the likely </w:t>
      </w:r>
      <w:r w:rsidR="00B07D80" w:rsidRPr="00076FDD">
        <w:t>heterogeneity</w:t>
      </w:r>
      <w:r w:rsidR="00B07D80">
        <w:t xml:space="preserve"> in the wellbeing impacts of alcohol policies</w:t>
      </w:r>
      <w:r>
        <w:t xml:space="preserve">.  Some drinking </w:t>
      </w:r>
      <w:r w:rsidR="00B07D80">
        <w:t xml:space="preserve">decisions </w:t>
      </w:r>
      <w:r>
        <w:t xml:space="preserve">will </w:t>
      </w:r>
      <w:r w:rsidR="00B07D80">
        <w:t>follow the classical economic assumptions of rationality</w:t>
      </w:r>
      <w:r>
        <w:t xml:space="preserve"> and will be wellbeing-enhancing, while others </w:t>
      </w:r>
      <w:r w:rsidR="00B07D80">
        <w:t>– particularly those taken under addiction or intoxication</w:t>
      </w:r>
      <w:r w:rsidR="00DA1D01">
        <w:t xml:space="preserve"> </w:t>
      </w:r>
      <w:r w:rsidR="00B07D80">
        <w:t xml:space="preserve">– may be less </w:t>
      </w:r>
      <w:r>
        <w:t>so, and different policies will act differentially on these</w:t>
      </w:r>
      <w:r w:rsidR="00E95B67">
        <w:t xml:space="preserve">.  </w:t>
      </w:r>
      <w:r>
        <w:t xml:space="preserve">We could speculate that </w:t>
      </w:r>
      <w:r w:rsidR="00E95B67">
        <w:t>a</w:t>
      </w:r>
      <w:r w:rsidR="00B07D80">
        <w:t xml:space="preserve"> wellbeing-focused alcohol policy could ‘nudge’ intoxicated individuals into ‘better’ decisions, for example </w:t>
      </w:r>
      <w:r>
        <w:t xml:space="preserve">by encouraging smaller serving sizes and lower-strength drinks (requiring a greater number of deliberate decisions to become more intoxicated), or </w:t>
      </w:r>
      <w:r w:rsidR="0036714E">
        <w:t xml:space="preserve">extra restrictions/charges for </w:t>
      </w:r>
      <w:r w:rsidR="00B07D80">
        <w:t xml:space="preserve">venues </w:t>
      </w:r>
      <w:r w:rsidR="000D056F">
        <w:t xml:space="preserve">with </w:t>
      </w:r>
      <w:r w:rsidR="0036714E">
        <w:t xml:space="preserve">high </w:t>
      </w:r>
      <w:r w:rsidR="00B07D80">
        <w:t xml:space="preserve">sound levels </w:t>
      </w:r>
      <w:r w:rsidR="00756FDA">
        <w:fldChar w:fldCharType="begin"/>
      </w:r>
      <w:r w:rsidR="0036714E">
        <w:instrText xml:space="preserve"> ADDIN EN.CITE &lt;EndNote&gt;&lt;Cite&gt;&lt;Author&gt;Guéguen&lt;/Author&gt;&lt;Year&gt;2008&lt;/Year&gt;&lt;RecNum&gt;2178&lt;/RecNum&gt;&lt;Prefix&gt;which inhibit conversations and encourage faster drinking`; &lt;/Prefix&gt;&lt;DisplayText&gt;(which inhibit conversations and encourage faster drinking; Guéguen et al., 2008)&lt;/DisplayText&gt;&lt;record&gt;&lt;rec-number&gt;2178&lt;/rec-number&gt;&lt;foreign-keys&gt;&lt;key app="EN" db-id="sttprxrp6925duet9e6pf2zo2drwvda5wf02" timestamp="1399637998"&gt;2178&lt;/key&gt;&lt;/foreign-keys&gt;&lt;ref-type name="Journal Article"&gt;17&lt;/ref-type&gt;&lt;contributors&gt;&lt;authors&gt;&lt;author&gt;Nicolas Guéguen&lt;/author&gt;&lt;author&gt;Céline Jacob&lt;/author&gt;&lt;author&gt;Hélène Le Guellec&lt;/author&gt;&lt;author&gt;Thierry Morineau &lt;/author&gt;&lt;author&gt;Marcel Lourel&lt;/author&gt;&lt;/authors&gt;&lt;/contributors&gt;&lt;titles&gt;&lt;title&gt;Sound Level of Environmental Music and Drinking Behavior: A Field Experiment With Beer Drinkers&lt;/title&gt;&lt;secondary-title&gt;Alcoholism: Clinical and Experimental Research&lt;/secondary-title&gt;&lt;/titles&gt;&lt;periodical&gt;&lt;full-title&gt;Alcoholism: Clinical and Experimental Research&lt;/full-title&gt;&lt;/periodical&gt;&lt;pages&gt;1795-1798&lt;/pages&gt;&lt;volume&gt;32&lt;/volume&gt;&lt;number&gt;10&lt;/number&gt;&lt;dates&gt;&lt;year&gt;2008&lt;/year&gt;&lt;/dates&gt;&lt;urls&gt;&lt;/urls&gt;&lt;electronic-resource-num&gt;10.1111/j.1530-0277.2008.00764.x&lt;/electronic-resource-num&gt;&lt;/record&gt;&lt;/Cite&gt;&lt;/EndNote&gt;</w:instrText>
      </w:r>
      <w:r w:rsidR="00756FDA">
        <w:fldChar w:fldCharType="separate"/>
      </w:r>
      <w:r w:rsidR="0036714E">
        <w:rPr>
          <w:noProof/>
        </w:rPr>
        <w:t>(which inhibit conversations and encourage faster drinking; Guéguen et al., 2008)</w:t>
      </w:r>
      <w:r w:rsidR="00756FDA">
        <w:fldChar w:fldCharType="end"/>
      </w:r>
      <w:r w:rsidR="00DA1D01">
        <w:t>.</w:t>
      </w:r>
      <w:r w:rsidR="00B07D80">
        <w:t xml:space="preserve"> </w:t>
      </w:r>
      <w:r>
        <w:t xml:space="preserve">Pre-commitment devices may also be possible, such as allowing individuals at the start of the evening to place spending limits on their bar tab, parallel to </w:t>
      </w:r>
      <w:r w:rsidR="00A03B98">
        <w:t xml:space="preserve">similar </w:t>
      </w:r>
      <w:r w:rsidR="00A03B98">
        <w:fldChar w:fldCharType="begin"/>
      </w:r>
      <w:r w:rsidR="00A03B98">
        <w:instrText xml:space="preserve"> ADDIN EN.CITE &lt;EndNote&gt;&lt;Cite&gt;&lt;Author&gt;Ladouceur&lt;/Author&gt;&lt;Year&gt;2012&lt;/Year&gt;&lt;RecNum&gt;2308&lt;/RecNum&gt;&lt;Prefix&gt;if not necessarily effective`; &lt;/Prefix&gt;&lt;DisplayText&gt;(if not necessarily effective; Ladouceur et al., 2012)&lt;/DisplayText&gt;&lt;record&gt;&lt;rec-number&gt;2308&lt;/rec-number&gt;&lt;foreign-keys&gt;&lt;key app="EN" db-id="sttprxrp6925duet9e6pf2zo2drwvda5wf02" timestamp="1441042040"&gt;2308&lt;/key&gt;&lt;/foreign-keys&gt;&lt;ref-type name="Journal Article"&gt;17&lt;/ref-type&gt;&lt;contributors&gt;&lt;authors&gt;&lt;author&gt;Ladouceur, Robert&lt;/author&gt;&lt;author&gt;Blaszczynski, Alex&lt;/author&gt;&lt;author&gt;Lalande, Daniel R&lt;/author&gt;&lt;/authors&gt;&lt;/contributors&gt;&lt;titles&gt;&lt;title&gt;Pre-commitment in gambling: a review of the empirical evidence&lt;/title&gt;&lt;secondary-title&gt;International Gambling Studies&lt;/secondary-title&gt;&lt;/titles&gt;&lt;periodical&gt;&lt;full-title&gt;International Gambling Studies&lt;/full-title&gt;&lt;/periodical&gt;&lt;pages&gt;215-230&lt;/pages&gt;&lt;volume&gt;12&lt;/volume&gt;&lt;number&gt;2&lt;/number&gt;&lt;dates&gt;&lt;year&gt;2012&lt;/year&gt;&lt;/dates&gt;&lt;isbn&gt;1445-9795&lt;/isbn&gt;&lt;urls&gt;&lt;/urls&gt;&lt;/record&gt;&lt;/Cite&gt;&lt;/EndNote&gt;</w:instrText>
      </w:r>
      <w:r w:rsidR="00A03B98">
        <w:fldChar w:fldCharType="separate"/>
      </w:r>
      <w:r w:rsidR="00A03B98">
        <w:rPr>
          <w:noProof/>
        </w:rPr>
        <w:t>(if not necessarily effective; Ladouceur et al., 2012)</w:t>
      </w:r>
      <w:r w:rsidR="00A03B98">
        <w:fldChar w:fldCharType="end"/>
      </w:r>
      <w:r w:rsidR="00C10DB0">
        <w:t xml:space="preserve"> </w:t>
      </w:r>
      <w:r w:rsidR="00A03B98">
        <w:t xml:space="preserve"> policies for gambling</w:t>
      </w:r>
      <w:r>
        <w:t>.  However, these are mere speculations, and further research and policy development is needed to consider their desirability and feasibility</w:t>
      </w:r>
      <w:r w:rsidR="00911C4D">
        <w:t>, particularly robust evaluations of real-world trials</w:t>
      </w:r>
      <w:r>
        <w:t>.</w:t>
      </w:r>
      <w:r w:rsidR="00A03B98">
        <w:t xml:space="preserve">  </w:t>
      </w:r>
      <w:r w:rsidR="00911C4D">
        <w:t xml:space="preserve">Still, </w:t>
      </w:r>
      <w:r w:rsidR="00A03B98">
        <w:t xml:space="preserve">population-wide policies such as alcohol taxation may </w:t>
      </w:r>
      <w:r w:rsidR="00911C4D">
        <w:t xml:space="preserve">also </w:t>
      </w:r>
      <w:r w:rsidR="00A03B98">
        <w:t xml:space="preserve">improve wellbeing, </w:t>
      </w:r>
      <w:r w:rsidR="00911C4D">
        <w:t xml:space="preserve">following </w:t>
      </w:r>
      <w:r>
        <w:t xml:space="preserve">Gruber &amp; </w:t>
      </w:r>
      <w:r w:rsidRPr="00E95B67">
        <w:t>Mullainathan</w:t>
      </w:r>
      <w:r w:rsidR="00911C4D">
        <w:t>’s</w:t>
      </w:r>
      <w:r>
        <w:t xml:space="preserve"> </w:t>
      </w:r>
      <w:r>
        <w:fldChar w:fldCharType="begin"/>
      </w:r>
      <w:r>
        <w:instrText xml:space="preserve"> ADDIN EN.CITE &lt;EndNote&gt;&lt;Cite ExcludeAuth="1"&gt;&lt;Author&gt;Gruber&lt;/Author&gt;&lt;Year&gt;2005&lt;/Year&gt;&lt;RecNum&gt;2165&lt;/RecNum&gt;&lt;DisplayText&gt;(2005)&lt;/DisplayText&gt;&lt;record&gt;&lt;rec-number&gt;2165&lt;/rec-number&gt;&lt;foreign-keys&gt;&lt;key app="EN" db-id="sttprxrp6925duet9e6pf2zo2drwvda5wf02" timestamp="1399301717"&gt;2165&lt;/key&gt;&lt;/foreign-keys&gt;&lt;ref-type name="Journal Article"&gt;17&lt;/ref-type&gt;&lt;contributors&gt;&lt;authors&gt;&lt;author&gt;Jonathan H Gruber&lt;/author&gt;&lt;author&gt;Sendhil Mullainathan&lt;/author&gt;&lt;/authors&gt;&lt;/contributors&gt;&lt;titles&gt;&lt;title&gt;Do Cigarette Taxes Make Smokers Happier&lt;/title&gt;&lt;secondary-title&gt;The B.E. Journal of Economic Analysis &amp;amp; Policy&lt;/secondary-title&gt;&lt;/titles&gt;&lt;periodical&gt;&lt;full-title&gt;The B.E. Journal of Economic Analysis &amp;amp; Policy&lt;/full-title&gt;&lt;/periodical&gt;&lt;pages&gt;1-43&lt;/pages&gt;&lt;volume&gt;5&lt;/volume&gt;&lt;number&gt;1&lt;/number&gt;&lt;dates&gt;&lt;year&gt;2005&lt;/year&gt;&lt;/dates&gt;&lt;urls&gt;&lt;/urls&gt;&lt;research-notes&gt;An NBER paper from 2002 - but they clearly found it slow and hard to get this into a good journal.&lt;/research-notes&gt;&lt;/record&gt;&lt;/Cite&gt;&lt;/EndNote&gt;</w:instrText>
      </w:r>
      <w:r>
        <w:fldChar w:fldCharType="separate"/>
      </w:r>
      <w:r>
        <w:rPr>
          <w:noProof/>
        </w:rPr>
        <w:t>(2005)</w:t>
      </w:r>
      <w:r>
        <w:fldChar w:fldCharType="end"/>
      </w:r>
      <w:r>
        <w:t xml:space="preserve"> </w:t>
      </w:r>
      <w:r w:rsidR="00911C4D">
        <w:t xml:space="preserve">finding that </w:t>
      </w:r>
      <w:r w:rsidR="00A03B98">
        <w:t xml:space="preserve">likely-smokers </w:t>
      </w:r>
      <w:r w:rsidR="00911C4D">
        <w:t xml:space="preserve">were happier with higher </w:t>
      </w:r>
      <w:r>
        <w:t xml:space="preserve">cigarette taxes.  </w:t>
      </w:r>
    </w:p>
    <w:p w14:paraId="6F008BCE" w14:textId="0C2DA8DF" w:rsidR="00B07D80" w:rsidRDefault="00A03B98" w:rsidP="00504FE6">
      <w:r>
        <w:lastRenderedPageBreak/>
        <w:t>Finally, t</w:t>
      </w:r>
      <w:r w:rsidR="00B07D80">
        <w:t xml:space="preserve">he relationship of alcohol and wellbeing is not a given, but rather is partly culturally-determined (see above).  Among other factors, marketing not only influences the pleasure of drinking – e.g. the perceived price of wine influences the pleasure of drinking </w:t>
      </w:r>
      <w:r w:rsidR="00756FDA">
        <w:fldChar w:fldCharType="begin"/>
      </w:r>
      <w:r w:rsidR="00DF7C6A">
        <w:instrText xml:space="preserve"> ADDIN EN.CITE &lt;EndNote&gt;&lt;Cite&gt;&lt;Author&gt;Plassmann&lt;/Author&gt;&lt;Year&gt;2008&lt;/Year&gt;&lt;RecNum&gt;2194&lt;/RecNum&gt;&lt;DisplayText&gt;(Plassmann et al., 2008)&lt;/DisplayText&gt;&lt;record&gt;&lt;rec-number&gt;2194&lt;/rec-number&gt;&lt;foreign-keys&gt;&lt;key app="EN" db-id="sttprxrp6925duet9e6pf2zo2drwvda5wf02" timestamp="1399983517"&gt;2194&lt;/key&gt;&lt;/foreign-keys&gt;&lt;ref-type name="Journal Article"&gt;17&lt;/ref-type&gt;&lt;contributors&gt;&lt;authors&gt;&lt;author&gt;Hilke Plassmann&lt;/author&gt;&lt;author&gt;John O&amp;apos;Doherty&lt;/author&gt;&lt;author&gt;Baba Shiv&lt;/author&gt;&lt;author&gt;Antonio Rangel&lt;/author&gt;&lt;/authors&gt;&lt;/contributors&gt;&lt;titles&gt;&lt;title&gt;Marketing actions can modulate neural representations of experienced pleasantness&lt;/title&gt;&lt;secondary-title&gt;PNAS&lt;/secondary-title&gt;&lt;/titles&gt;&lt;periodical&gt;&lt;full-title&gt;PNAS&lt;/full-title&gt;&lt;/periodical&gt;&lt;pages&gt;1050-1054&lt;/pages&gt;&lt;volume&gt;105&lt;/volume&gt;&lt;number&gt;3&lt;/number&gt;&lt;dates&gt;&lt;year&gt;2008&lt;/year&gt;&lt;/dates&gt;&lt;urls&gt;&lt;/urls&gt;&lt;electronic-resource-num&gt;10.1073/pnas.0706929105&lt;/electronic-resource-num&gt;&lt;/record&gt;&lt;/Cite&gt;&lt;/EndNote&gt;</w:instrText>
      </w:r>
      <w:r w:rsidR="00756FDA">
        <w:fldChar w:fldCharType="separate"/>
      </w:r>
      <w:r w:rsidR="00DF7C6A">
        <w:rPr>
          <w:noProof/>
        </w:rPr>
        <w:t>(Plassmann et al., 2008)</w:t>
      </w:r>
      <w:r w:rsidR="00756FDA">
        <w:fldChar w:fldCharType="end"/>
      </w:r>
      <w:r w:rsidR="00B07D80">
        <w:t xml:space="preserve"> – but may also effect the anticipation and memory of consumption; </w:t>
      </w:r>
      <w:r w:rsidR="00B07D80" w:rsidRPr="00083006">
        <w:t xml:space="preserve">as Adey et al </w:t>
      </w:r>
      <w:r w:rsidR="00DA1D01">
        <w:fldChar w:fldCharType="begin"/>
      </w:r>
      <w:r w:rsidR="00DA1D01">
        <w:instrText xml:space="preserve"> ADDIN EN.CITE &lt;EndNote&gt;&lt;Cite ExcludeAuth="1"&gt;&lt;Author&gt;Adey&lt;/Author&gt;&lt;Year&gt;2010&lt;/Year&gt;&lt;RecNum&gt;2183&lt;/RecNum&gt;&lt;Suffix&gt;:662&lt;/Suffix&gt;&lt;DisplayText&gt;(2010:662)&lt;/DisplayText&gt;&lt;record&gt;&lt;rec-number&gt;2183&lt;/rec-number&gt;&lt;foreign-keys&gt;&lt;key app="EN" db-id="sttprxrp6925duet9e6pf2zo2drwvda5wf02" timestamp="1399644034"&gt;2183&lt;/key&gt;&lt;/foreign-keys&gt;&lt;ref-type name="Journal Article"&gt;17&lt;/ref-type&gt;&lt;contributors&gt;&lt;authors&gt;&lt;author&gt;Adey, Gwen E.&lt;/author&gt;&lt;author&gt;Moore, Simon C.&lt;/author&gt;&lt;author&gt;Chestnutt, Ivor G.&lt;/author&gt;&lt;/authors&gt;&lt;/contributors&gt;&lt;titles&gt;&lt;title&gt;Dose–response expectancies for alcohol: Validation and implications for brief interventions&lt;/title&gt;&lt;secondary-title&gt;Drug and Alcohol Review&lt;/secondary-title&gt;&lt;/titles&gt;&lt;periodical&gt;&lt;full-title&gt;Drug and Alcohol Review&lt;/full-title&gt;&lt;/periodical&gt;&lt;pages&gt;662-668&lt;/pages&gt;&lt;volume&gt;29&lt;/volume&gt;&lt;number&gt;6&lt;/number&gt;&lt;keywords&gt;&lt;keyword&gt;alcohol expectancy&lt;/keyword&gt;&lt;keyword&gt;dose&lt;/keyword&gt;&lt;keyword&gt;brief intervention&lt;/keyword&gt;&lt;/keywords&gt;&lt;dates&gt;&lt;year&gt;2010&lt;/year&gt;&lt;/dates&gt;&lt;publisher&gt;Blackwell Publishing Asia&lt;/publisher&gt;&lt;isbn&gt;1465-3362&lt;/isbn&gt;&lt;urls&gt;&lt;related-urls&gt;&lt;url&gt;http://dx.doi.org/10.1111/j.1465-3362.2010.00229.x&lt;/url&gt;&lt;/related-urls&gt;&lt;/urls&gt;&lt;electronic-resource-num&gt;10.1111/j.1465-3362.2010.00229.x&lt;/electronic-resource-num&gt;&lt;/record&gt;&lt;/Cite&gt;&lt;/EndNote&gt;</w:instrText>
      </w:r>
      <w:r w:rsidR="00DA1D01">
        <w:fldChar w:fldCharType="separate"/>
      </w:r>
      <w:r w:rsidR="00DA1D01">
        <w:rPr>
          <w:noProof/>
        </w:rPr>
        <w:t>(2010:662)</w:t>
      </w:r>
      <w:r w:rsidR="00DA1D01">
        <w:fldChar w:fldCharType="end"/>
      </w:r>
      <w:r w:rsidR="00DA1D01">
        <w:t xml:space="preserve"> </w:t>
      </w:r>
      <w:r w:rsidR="00B07D80" w:rsidRPr="00083006">
        <w:t xml:space="preserve">put it, </w:t>
      </w:r>
      <w:r w:rsidR="00B07D80">
        <w:rPr>
          <w:i/>
        </w:rPr>
        <w:t>“consumers do not buy ethanol</w:t>
      </w:r>
      <w:r w:rsidR="00B07D80" w:rsidRPr="00C37962">
        <w:rPr>
          <w:i/>
        </w:rPr>
        <w:t>… they buy the anticipated effects of alcohol”</w:t>
      </w:r>
      <w:r w:rsidR="00B07D80" w:rsidRPr="00083006">
        <w:t xml:space="preserve">.  </w:t>
      </w:r>
      <w:r w:rsidR="00B07D80">
        <w:t>To the extent that policymakers can also control these expectations, then this may enable policies that e.g. reduce per-occasion alcohol consumption while maintaining an existing level of sociability and perceived pleasure.  There is some evidence that it is possible to influence alcohol-related cognitions through individual-level interventions</w:t>
      </w:r>
      <w:r w:rsidR="00F00522">
        <w:t xml:space="preserve"> </w:t>
      </w:r>
      <w:r w:rsidR="00756FDA">
        <w:fldChar w:fldCharType="begin"/>
      </w:r>
      <w:r w:rsidR="00DF7C6A">
        <w:instrText xml:space="preserve"> ADDIN EN.CITE &lt;EndNote&gt;&lt;Cite&gt;&lt;Author&gt;Wiers&lt;/Author&gt;&lt;Year&gt;2005&lt;/Year&gt;&lt;RecNum&gt;2204&lt;/RecNum&gt;&lt;DisplayText&gt;(Wiers et al., 2005)&lt;/DisplayText&gt;&lt;record&gt;&lt;rec-number&gt;2204&lt;/rec-number&gt;&lt;foreign-keys&gt;&lt;key app="EN" db-id="sttprxrp6925duet9e6pf2zo2drwvda5wf02" timestamp="1406189220"&gt;2204&lt;/key&gt;&lt;/foreign-keys&gt;&lt;ref-type name="Journal Article"&gt;17&lt;/ref-type&gt;&lt;contributors&gt;&lt;authors&gt;&lt;author&gt;Wiers, Reinout W.&lt;/author&gt;&lt;author&gt;Van De Luitgaarden, Jade&lt;/author&gt;&lt;author&gt;Van Den Wildenberg, Esther&lt;/author&gt;&lt;author&gt;Smulders, Fren T. Y.&lt;/author&gt;&lt;/authors&gt;&lt;/contributors&gt;&lt;titles&gt;&lt;title&gt;Challenging implicit and explicit alcohol-related cognitions in young heavy drinkers&lt;/title&gt;&lt;secondary-title&gt;Addiction&lt;/secondary-title&gt;&lt;/titles&gt;&lt;periodical&gt;&lt;full-title&gt;Addiction&lt;/full-title&gt;&lt;/periodical&gt;&lt;pages&gt;806-819&lt;/pages&gt;&lt;volume&gt;100&lt;/volume&gt;&lt;number&gt;6&lt;/number&gt;&lt;keywords&gt;&lt;keyword&gt;Alcohol&lt;/keyword&gt;&lt;keyword&gt;expectancy challenge&lt;/keyword&gt;&lt;keyword&gt;IAT&lt;/keyword&gt;&lt;keyword&gt;implicit cognition&lt;/keyword&gt;&lt;keyword&gt;mediation&lt;/keyword&gt;&lt;keyword&gt;prevention&lt;/keyword&gt;&lt;/keywords&gt;&lt;dates&gt;&lt;year&gt;2005&lt;/year&gt;&lt;/dates&gt;&lt;publisher&gt;Blackwell Science Ltd&lt;/publisher&gt;&lt;isbn&gt;1360-0443&lt;/isbn&gt;&lt;urls&gt;&lt;related-urls&gt;&lt;url&gt;http://dx.doi.org/10.1111/j.1360-0443.2005.01064.x&lt;/url&gt;&lt;/related-urls&gt;&lt;/urls&gt;&lt;electronic-resource-num&gt;10.1111/j.1360-0443.2005.01064.x&lt;/electronic-resource-num&gt;&lt;/record&gt;&lt;/Cite&gt;&lt;/EndNote&gt;</w:instrText>
      </w:r>
      <w:r w:rsidR="00756FDA">
        <w:fldChar w:fldCharType="separate"/>
      </w:r>
      <w:r w:rsidR="00DF7C6A">
        <w:rPr>
          <w:noProof/>
        </w:rPr>
        <w:t>(Wiers et al., 2005)</w:t>
      </w:r>
      <w:r w:rsidR="00756FDA">
        <w:fldChar w:fldCharType="end"/>
      </w:r>
      <w:r w:rsidR="00B07D80">
        <w:t>.  However, government attempts to engineer widespread ‘cultural change’ through policies ranging from content-based marketing restrictions to licensing changes have generally been less successful.</w:t>
      </w:r>
    </w:p>
    <w:p w14:paraId="0300458A" w14:textId="77777777" w:rsidR="00B07D80" w:rsidRDefault="00B07D80" w:rsidP="00504FE6">
      <w:pPr>
        <w:pStyle w:val="Heading3"/>
      </w:pPr>
      <w:r>
        <w:t>The role of wellbeing in alcohol policy</w:t>
      </w:r>
    </w:p>
    <w:p w14:paraId="3C788198" w14:textId="322F9B2F" w:rsidR="00B07D80" w:rsidRDefault="00B07D80" w:rsidP="00504FE6">
      <w:r>
        <w:t xml:space="preserve">Some readers may accept the analysis thus far, but fundamentally question the relevance of wellbeing to public health policy.   It is difficult to argue that societies should simply aim to maximise the momentary pleasure gained by individual consumption decisions.  Moreover, people’s subjective views do not always map well onto those aspects of life that most people would hold to be important; </w:t>
      </w:r>
      <w:proofErr w:type="spellStart"/>
      <w:r>
        <w:t>Lelkes</w:t>
      </w:r>
      <w:proofErr w:type="spellEnd"/>
      <w:r>
        <w:t xml:space="preserve"> suggests that we should focus on ‘minimising misery’ rather than ‘maximising happiness’, given that unhappiness/dissatisfaction is more strongly related to objective circumstances</w:t>
      </w:r>
      <w:r w:rsidR="00756FDA">
        <w:t xml:space="preserve"> </w:t>
      </w:r>
      <w:r w:rsidR="00756FDA">
        <w:fldChar w:fldCharType="begin"/>
      </w:r>
      <w:r w:rsidR="00DF7C6A">
        <w:instrText xml:space="preserve"> ADDIN EN.CITE &lt;EndNote&gt;&lt;Cite&gt;&lt;Author&gt;Lelkes&lt;/Author&gt;&lt;Year&gt;2013&lt;/Year&gt;&lt;RecNum&gt;2172&lt;/RecNum&gt;&lt;DisplayText&gt;(Lelkes, 2013)&lt;/DisplayText&gt;&lt;record&gt;&lt;rec-number&gt;2172&lt;/rec-number&gt;&lt;foreign-keys&gt;&lt;key app="EN" db-id="sttprxrp6925duet9e6pf2zo2drwvda5wf02" timestamp="1399320359"&gt;2172&lt;/key&gt;&lt;/foreign-keys&gt;&lt;ref-type name="Journal Article"&gt;17&lt;/ref-type&gt;&lt;contributors&gt;&lt;authors&gt;&lt;author&gt;Lelkes, Orsolya&lt;/author&gt;&lt;/authors&gt;&lt;/contributors&gt;&lt;titles&gt;&lt;title&gt;Minimising Misery: A New Strategy for Public Policies Instead of Maximising Happiness?&lt;/title&gt;&lt;secondary-title&gt;Social Indicators Research&lt;/secondary-title&gt;&lt;alt-title&gt;Soc Indic Res&lt;/alt-title&gt;&lt;/titles&gt;&lt;periodical&gt;&lt;full-title&gt;Social Indicators Research&lt;/full-title&gt;&lt;/periodical&gt;&lt;pages&gt;121-137&lt;/pages&gt;&lt;volume&gt;114&lt;/volume&gt;&lt;number&gt;1&lt;/number&gt;&lt;keywords&gt;&lt;keyword&gt;Happiness&lt;/keyword&gt;&lt;keyword&gt;Unhappiness&lt;/keyword&gt;&lt;keyword&gt;Life satisfaction&lt;/keyword&gt;&lt;keyword&gt;Public policy&lt;/keyword&gt;&lt;keyword&gt;Bipolar scales&lt;/keyword&gt;&lt;/keywords&gt;&lt;dates&gt;&lt;year&gt;2013&lt;/year&gt;&lt;pub-dates&gt;&lt;date&gt;2013/10/01&lt;/date&gt;&lt;/pub-dates&gt;&lt;/dates&gt;&lt;publisher&gt;Springer Netherlands&lt;/publisher&gt;&lt;isbn&gt;0303-8300&lt;/isbn&gt;&lt;urls&gt;&lt;related-urls&gt;&lt;url&gt;http://dx.doi.org/10.1007/s11205-013-0387-7&lt;/url&gt;&lt;/related-urls&gt;&lt;/urls&gt;&lt;electronic-resource-num&gt;10.1007/s11205-013-0387-7&lt;/electronic-resource-num&gt;&lt;language&gt;English&lt;/language&gt;&lt;/record&gt;&lt;/Cite&gt;&lt;/EndNote&gt;</w:instrText>
      </w:r>
      <w:r w:rsidR="00756FDA">
        <w:fldChar w:fldCharType="separate"/>
      </w:r>
      <w:r w:rsidR="00DF7C6A">
        <w:rPr>
          <w:noProof/>
        </w:rPr>
        <w:t>(Lelkes, 2013)</w:t>
      </w:r>
      <w:r w:rsidR="00756FDA">
        <w:fldChar w:fldCharType="end"/>
      </w:r>
      <w:r>
        <w:t xml:space="preserve">.  It is therefore quite possible to argue that subjective wellbeing should not be an explicit goal of policymaking – either on the grounds that we should focus </w:t>
      </w:r>
      <w:r w:rsidR="00DA1D01">
        <w:t xml:space="preserve">more broadly on </w:t>
      </w:r>
      <w:r>
        <w:t>human needs (‘</w:t>
      </w:r>
      <w:proofErr w:type="spellStart"/>
      <w:r>
        <w:t>eudaimonic</w:t>
      </w:r>
      <w:proofErr w:type="spellEnd"/>
      <w:r>
        <w:t xml:space="preserve">’ rather than hedonic wellbeing), or that ‘wellbeing’ is not sufficient grounds for the state to intervene in people’s lives.  </w:t>
      </w:r>
    </w:p>
    <w:p w14:paraId="7610827A" w14:textId="4EB4188D" w:rsidR="00B07D80" w:rsidRPr="009E4DC0" w:rsidRDefault="00B07D80">
      <w:r>
        <w:t xml:space="preserve">All of these are valid points to be debated – and indeed, we share many of these concerns.  Nevertheless, the inattention to alcohol and wellbeing is becoming problematic. </w:t>
      </w:r>
      <w:r w:rsidR="0036714E">
        <w:t xml:space="preserve">Policymakers currently have a choice between overestimating the wellbeing gains of alcohol policies (by valuing alcohol’s negative wellbeing impacts and ignoring positive impacts), </w:t>
      </w:r>
      <w:r w:rsidR="0063227D">
        <w:t xml:space="preserve">underestimating them (by using implausibly naïve versions of the consumer surplus approach), or ignoring them altogether.  Yet </w:t>
      </w:r>
      <w:r>
        <w:lastRenderedPageBreak/>
        <w:t xml:space="preserve">policymakers and the public are often concerned about the wellbeing impacts of alcohol policies – and in the absence of any considered debate from academic researchers, they will be left clutching at </w:t>
      </w:r>
      <w:r w:rsidR="006377DB">
        <w:t xml:space="preserve">the </w:t>
      </w:r>
      <w:r w:rsidR="00704F5B">
        <w:t xml:space="preserve">naïve </w:t>
      </w:r>
      <w:r w:rsidR="006377DB">
        <w:t>approaches used by those outside of academia</w:t>
      </w:r>
      <w:r>
        <w:t>.  Our hope is that this paper will spur at least a little further research and thought in order to provide a surer basis for these debates.</w:t>
      </w:r>
      <w:r>
        <w:br w:type="page"/>
      </w:r>
    </w:p>
    <w:p w14:paraId="574018C3" w14:textId="7276EEC5" w:rsidR="002B15F0" w:rsidRDefault="00756FDA" w:rsidP="00756FDA">
      <w:pPr>
        <w:pStyle w:val="Heading1"/>
      </w:pPr>
      <w:r>
        <w:lastRenderedPageBreak/>
        <w:t>References</w:t>
      </w:r>
    </w:p>
    <w:p w14:paraId="17F0CE39" w14:textId="77777777" w:rsidR="00554B21" w:rsidRPr="00554B21" w:rsidRDefault="002B15F0" w:rsidP="00554B21">
      <w:pPr>
        <w:pStyle w:val="EndNoteBibliography"/>
        <w:spacing w:after="0"/>
        <w:ind w:left="720" w:hanging="720"/>
      </w:pPr>
      <w:r>
        <w:fldChar w:fldCharType="begin"/>
      </w:r>
      <w:r>
        <w:instrText xml:space="preserve"> ADDIN EN.REFLIST </w:instrText>
      </w:r>
      <w:r>
        <w:fldChar w:fldCharType="separate"/>
      </w:r>
      <w:r w:rsidR="00554B21" w:rsidRPr="00554B21">
        <w:t xml:space="preserve">aan het Rot, M., Russell, J.J., Moskowitz, D.S., &amp; Young, S.N. (2008). Alcohol in a Social Context: Findings From Event-Contingent Recording Studies of Everyday Social Interactions. </w:t>
      </w:r>
      <w:r w:rsidR="00554B21" w:rsidRPr="00554B21">
        <w:rPr>
          <w:i/>
        </w:rPr>
        <w:t xml:space="preserve">Alcoholism: Clinical and Experimental Research, </w:t>
      </w:r>
      <w:r w:rsidR="00554B21" w:rsidRPr="00554B21">
        <w:t>32, 459-471.</w:t>
      </w:r>
    </w:p>
    <w:p w14:paraId="789DA32D" w14:textId="77777777" w:rsidR="00554B21" w:rsidRPr="00554B21" w:rsidRDefault="00554B21" w:rsidP="00554B21">
      <w:pPr>
        <w:pStyle w:val="EndNoteBibliography"/>
        <w:spacing w:after="0"/>
        <w:ind w:left="720" w:hanging="720"/>
      </w:pPr>
      <w:r w:rsidRPr="00554B21">
        <w:t xml:space="preserve">Adey, G.E., Moore, S.C., &amp; Chestnutt, I.G. (2010). Dose–response expectancies for alcohol: Validation and implications for brief interventions. </w:t>
      </w:r>
      <w:r w:rsidRPr="00554B21">
        <w:rPr>
          <w:i/>
        </w:rPr>
        <w:t xml:space="preserve">Drug and Alcohol Review, </w:t>
      </w:r>
      <w:r w:rsidRPr="00554B21">
        <w:t>29, 662-668.</w:t>
      </w:r>
    </w:p>
    <w:p w14:paraId="7BFB9058" w14:textId="77777777" w:rsidR="00554B21" w:rsidRPr="00554B21" w:rsidRDefault="00554B21" w:rsidP="00554B21">
      <w:pPr>
        <w:pStyle w:val="EndNoteBibliography"/>
        <w:spacing w:after="0"/>
        <w:ind w:left="720" w:hanging="720"/>
      </w:pPr>
      <w:r w:rsidRPr="00554B21">
        <w:t xml:space="preserve">Ashley, E.M., Nardinelli, C., &amp; Lavaty, R.A. (In Press). Estimating the benefits of public health policies that reduce harmful consumption. </w:t>
      </w:r>
      <w:r w:rsidRPr="00554B21">
        <w:rPr>
          <w:i/>
        </w:rPr>
        <w:t>Health Economics</w:t>
      </w:r>
      <w:r w:rsidRPr="00554B21">
        <w:t>.</w:t>
      </w:r>
    </w:p>
    <w:p w14:paraId="3E9D40DF" w14:textId="77777777" w:rsidR="00554B21" w:rsidRPr="00554B21" w:rsidRDefault="00554B21" w:rsidP="00554B21">
      <w:pPr>
        <w:pStyle w:val="EndNoteBibliography"/>
        <w:spacing w:after="0"/>
        <w:ind w:left="720" w:hanging="720"/>
      </w:pPr>
      <w:r w:rsidRPr="00554B21">
        <w:t>Aslam, S., Barham, L., Bramley-Harker, E., Dodgson, J., &amp; Spackman, M. (2003). Alcohol in London: a cost-benefit analysis. London, UK: A Final Report for the Greater London Authority Prepared by NERA.</w:t>
      </w:r>
    </w:p>
    <w:p w14:paraId="591F2423" w14:textId="77777777" w:rsidR="00554B21" w:rsidRPr="00554B21" w:rsidRDefault="00554B21" w:rsidP="00554B21">
      <w:pPr>
        <w:pStyle w:val="EndNoteBibliography"/>
        <w:spacing w:after="0"/>
        <w:ind w:left="720" w:hanging="720"/>
      </w:pPr>
      <w:r w:rsidRPr="00554B21">
        <w:t xml:space="preserve">Battista, S.R., Stewart, S.H., &amp; Ham, L.S. (2010). A Critical Review of Laboratory-Based Studies Examining the Relationships of Social Anxiety and Alcohol Intake. </w:t>
      </w:r>
      <w:r w:rsidRPr="00554B21">
        <w:rPr>
          <w:i/>
        </w:rPr>
        <w:t xml:space="preserve">Current Drug Abuse Reviews, </w:t>
      </w:r>
      <w:r w:rsidRPr="00554B21">
        <w:t>3, 3-22.</w:t>
      </w:r>
    </w:p>
    <w:p w14:paraId="7E0520B1" w14:textId="77777777" w:rsidR="00554B21" w:rsidRPr="00554B21" w:rsidRDefault="00554B21" w:rsidP="00554B21">
      <w:pPr>
        <w:pStyle w:val="EndNoteBibliography"/>
        <w:spacing w:after="0"/>
        <w:ind w:left="720" w:hanging="720"/>
      </w:pPr>
      <w:r w:rsidRPr="00554B21">
        <w:t xml:space="preserve">Bernheim, B.D., &amp; Rangel, A. (2004). Addiction and Cue-Triggered Decision Processes. </w:t>
      </w:r>
      <w:r w:rsidRPr="00554B21">
        <w:rPr>
          <w:i/>
        </w:rPr>
        <w:t xml:space="preserve">American Economic Review, </w:t>
      </w:r>
      <w:r w:rsidRPr="00554B21">
        <w:t>94, 1558-1590.</w:t>
      </w:r>
    </w:p>
    <w:p w14:paraId="6F230A56" w14:textId="77777777" w:rsidR="00554B21" w:rsidRPr="00554B21" w:rsidRDefault="00554B21" w:rsidP="00554B21">
      <w:pPr>
        <w:pStyle w:val="EndNoteBibliography"/>
        <w:spacing w:after="0"/>
        <w:ind w:left="720" w:hanging="720"/>
      </w:pPr>
      <w:r w:rsidRPr="00554B21">
        <w:t xml:space="preserve">Bernheim, B.D., &amp; Rangel, A. (2007). Toward Choice-Theoretic Foundations for Behavioral Welfare Economics. </w:t>
      </w:r>
      <w:r w:rsidRPr="00554B21">
        <w:rPr>
          <w:i/>
        </w:rPr>
        <w:t xml:space="preserve">American Economic Review, </w:t>
      </w:r>
      <w:r w:rsidRPr="00554B21">
        <w:t>97, 464-470.</w:t>
      </w:r>
    </w:p>
    <w:p w14:paraId="335A5EF8" w14:textId="77777777" w:rsidR="00554B21" w:rsidRPr="00554B21" w:rsidRDefault="00554B21" w:rsidP="00554B21">
      <w:pPr>
        <w:pStyle w:val="EndNoteBibliography"/>
        <w:spacing w:after="0"/>
        <w:ind w:left="720" w:hanging="720"/>
      </w:pPr>
      <w:r w:rsidRPr="00554B21">
        <w:t xml:space="preserve">Binder, M., &amp; Coad, A. (2013). “I'm afraid I have bad news for you…” Estimating the impact of different health impairments on subjective well-being. </w:t>
      </w:r>
      <w:r w:rsidRPr="00554B21">
        <w:rPr>
          <w:i/>
        </w:rPr>
        <w:t xml:space="preserve">Social Science &amp; Medicine, </w:t>
      </w:r>
      <w:r w:rsidRPr="00554B21">
        <w:t>87, 155-167.</w:t>
      </w:r>
    </w:p>
    <w:p w14:paraId="2A7618CD" w14:textId="77777777" w:rsidR="00554B21" w:rsidRPr="00554B21" w:rsidRDefault="00554B21" w:rsidP="00554B21">
      <w:pPr>
        <w:pStyle w:val="EndNoteBibliography"/>
        <w:spacing w:after="0"/>
        <w:ind w:left="720" w:hanging="720"/>
      </w:pPr>
      <w:r w:rsidRPr="00554B21">
        <w:t xml:space="preserve">Boden, J.M., &amp; Fergusson, D.M. (2011). Alcohol and depression. </w:t>
      </w:r>
      <w:r w:rsidRPr="00554B21">
        <w:rPr>
          <w:i/>
        </w:rPr>
        <w:t xml:space="preserve">Addiction, </w:t>
      </w:r>
      <w:r w:rsidRPr="00554B21">
        <w:t>106, 906-914.</w:t>
      </w:r>
    </w:p>
    <w:p w14:paraId="5D54EFE7" w14:textId="77777777" w:rsidR="00554B21" w:rsidRPr="00554B21" w:rsidRDefault="00554B21" w:rsidP="00554B21">
      <w:pPr>
        <w:pStyle w:val="EndNoteBibliography"/>
        <w:spacing w:after="0"/>
        <w:ind w:left="720" w:hanging="720"/>
      </w:pPr>
      <w:r w:rsidRPr="00554B21">
        <w:t xml:space="preserve">Bogart, L.M., Collins, R.L., Ellickson, P.L., &amp; Klein, D.J. (2007). Are Adolescent Substance Users Less Satisfied with Life as Young Adults and if so, Why? </w:t>
      </w:r>
      <w:r w:rsidRPr="00554B21">
        <w:rPr>
          <w:i/>
        </w:rPr>
        <w:t xml:space="preserve">Social Indicators Research, </w:t>
      </w:r>
      <w:r w:rsidRPr="00554B21">
        <w:t>81, 149-169.</w:t>
      </w:r>
    </w:p>
    <w:p w14:paraId="644E6A15" w14:textId="77777777" w:rsidR="00554B21" w:rsidRPr="00554B21" w:rsidRDefault="00554B21" w:rsidP="00554B21">
      <w:pPr>
        <w:pStyle w:val="EndNoteBibliography"/>
        <w:spacing w:after="0"/>
        <w:ind w:left="720" w:hanging="720"/>
      </w:pPr>
      <w:r w:rsidRPr="00554B21">
        <w:t xml:space="preserve">Brown, R., &amp; Gregg, M. (2012). The pedagogy of regret: Facebook, binge drinking and young women. </w:t>
      </w:r>
      <w:r w:rsidRPr="00554B21">
        <w:rPr>
          <w:i/>
        </w:rPr>
        <w:t xml:space="preserve">Continuum: Journal of Media &amp; Cultural Studies, </w:t>
      </w:r>
      <w:r w:rsidRPr="00554B21">
        <w:t>26, 357-369.</w:t>
      </w:r>
    </w:p>
    <w:p w14:paraId="0C1464D6" w14:textId="77777777" w:rsidR="00554B21" w:rsidRPr="00554B21" w:rsidRDefault="00554B21" w:rsidP="00554B21">
      <w:pPr>
        <w:pStyle w:val="EndNoteBibliography"/>
        <w:spacing w:after="0"/>
        <w:ind w:left="720" w:hanging="720"/>
      </w:pPr>
      <w:r w:rsidRPr="00554B21">
        <w:t>Cawley, J., &amp; Ruhm, C. (2011). The economics of risky health behaviors.  NBER Working Paper No. 17081: National Bureau of Economic Research.</w:t>
      </w:r>
    </w:p>
    <w:p w14:paraId="28009F2B" w14:textId="77777777" w:rsidR="00554B21" w:rsidRPr="00554B21" w:rsidRDefault="00554B21" w:rsidP="00554B21">
      <w:pPr>
        <w:pStyle w:val="EndNoteBibliography"/>
        <w:spacing w:after="0"/>
        <w:ind w:left="720" w:hanging="720"/>
      </w:pPr>
      <w:r w:rsidRPr="00554B21">
        <w:t>cebr. (2009). Minimum Alcohol Pricing: a targeted measure? London: centre for economics and business research ltd for SAB Miller plc.</w:t>
      </w:r>
    </w:p>
    <w:p w14:paraId="5F693305" w14:textId="77777777" w:rsidR="00554B21" w:rsidRPr="00554B21" w:rsidRDefault="00554B21" w:rsidP="00554B21">
      <w:pPr>
        <w:pStyle w:val="EndNoteBibliography"/>
        <w:spacing w:after="0"/>
        <w:ind w:left="720" w:hanging="720"/>
      </w:pPr>
      <w:r w:rsidRPr="00554B21">
        <w:t xml:space="preserve">Ferrer-i-Carbonell, A., &amp; Frijters, P. (2004). How Important Is Methodology for the Estimates of the Determinants of Happiness? </w:t>
      </w:r>
      <w:r w:rsidRPr="00554B21">
        <w:rPr>
          <w:i/>
        </w:rPr>
        <w:t xml:space="preserve">The Economic Journal, </w:t>
      </w:r>
      <w:r w:rsidRPr="00554B21">
        <w:t>114, 641-659.</w:t>
      </w:r>
    </w:p>
    <w:p w14:paraId="159C583D" w14:textId="77777777" w:rsidR="00554B21" w:rsidRPr="00554B21" w:rsidRDefault="00554B21" w:rsidP="00554B21">
      <w:pPr>
        <w:pStyle w:val="EndNoteBibliography"/>
        <w:spacing w:after="0"/>
        <w:ind w:left="720" w:hanging="720"/>
      </w:pPr>
      <w:r w:rsidRPr="00554B21">
        <w:t xml:space="preserve">French, M.T., &amp; Popovici, I. (2011). That instrument is lousy! In search of agreement when using instrumental variables estimation in substance use research. </w:t>
      </w:r>
      <w:r w:rsidRPr="00554B21">
        <w:rPr>
          <w:i/>
        </w:rPr>
        <w:t xml:space="preserve">Health Economics, </w:t>
      </w:r>
      <w:r w:rsidRPr="00554B21">
        <w:t>20, 127-146.</w:t>
      </w:r>
    </w:p>
    <w:p w14:paraId="0383A04F" w14:textId="77777777" w:rsidR="00554B21" w:rsidRPr="00554B21" w:rsidRDefault="00554B21" w:rsidP="00554B21">
      <w:pPr>
        <w:pStyle w:val="EndNoteBibliography"/>
        <w:spacing w:after="0"/>
        <w:ind w:left="720" w:hanging="720"/>
      </w:pPr>
      <w:r w:rsidRPr="00554B21">
        <w:t>Fujiwara, D., &amp; Campbell, R. (2011). Valuation Techniques for Social Cost-Benefit Analysis: Stated Preference, Revealed Preference and Subjective Well-Being Approaches. A Discussion of the Current Issues. London: HM Treasury and Department for Work and Pensions.</w:t>
      </w:r>
    </w:p>
    <w:p w14:paraId="28B9796B" w14:textId="77777777" w:rsidR="00554B21" w:rsidRPr="00554B21" w:rsidRDefault="00554B21" w:rsidP="00554B21">
      <w:pPr>
        <w:pStyle w:val="EndNoteBibliography"/>
        <w:spacing w:after="0"/>
        <w:ind w:left="720" w:hanging="720"/>
      </w:pPr>
      <w:r w:rsidRPr="00554B21">
        <w:t xml:space="preserve">Graham, C., Eggers, A., &amp; Sukhtankar, S. (2004). Does happiness pay?: An exploration based on panel data from Russia. </w:t>
      </w:r>
      <w:r w:rsidRPr="00554B21">
        <w:rPr>
          <w:i/>
        </w:rPr>
        <w:t xml:space="preserve">Journal of Economic Behavior &amp; Organization, </w:t>
      </w:r>
      <w:r w:rsidRPr="00554B21">
        <w:t>55, 319-342.</w:t>
      </w:r>
    </w:p>
    <w:p w14:paraId="58F2DA54" w14:textId="77777777" w:rsidR="00554B21" w:rsidRPr="00554B21" w:rsidRDefault="00554B21" w:rsidP="00554B21">
      <w:pPr>
        <w:pStyle w:val="EndNoteBibliography"/>
        <w:spacing w:after="0"/>
        <w:ind w:left="720" w:hanging="720"/>
      </w:pPr>
      <w:r w:rsidRPr="00554B21">
        <w:t xml:space="preserve">Gruber, J.H., &amp; Mullainathan, S. (2005). Do Cigarette Taxes Make Smokers Happier. </w:t>
      </w:r>
      <w:r w:rsidRPr="00554B21">
        <w:rPr>
          <w:i/>
        </w:rPr>
        <w:t xml:space="preserve">The B.E. Journal of Economic Analysis &amp; Policy, </w:t>
      </w:r>
      <w:r w:rsidRPr="00554B21">
        <w:t>5, 1-43.</w:t>
      </w:r>
    </w:p>
    <w:p w14:paraId="4459996A" w14:textId="77777777" w:rsidR="00554B21" w:rsidRPr="00554B21" w:rsidRDefault="00554B21" w:rsidP="00554B21">
      <w:pPr>
        <w:pStyle w:val="EndNoteBibliography"/>
        <w:spacing w:after="0"/>
        <w:ind w:left="720" w:hanging="720"/>
      </w:pPr>
      <w:r w:rsidRPr="00554B21">
        <w:t xml:space="preserve">Guéguen, N., Jacob, C., Guellec, H.L., Morineau, T., &amp; Lourel, M. (2008). Sound Level of Environmental Music and Drinking Behavior: A Field Experiment With Beer Drinkers. </w:t>
      </w:r>
      <w:r w:rsidRPr="00554B21">
        <w:rPr>
          <w:i/>
        </w:rPr>
        <w:t xml:space="preserve">Alcoholism: Clinical and Experimental Research, </w:t>
      </w:r>
      <w:r w:rsidRPr="00554B21">
        <w:t>32, 1795-1798.</w:t>
      </w:r>
    </w:p>
    <w:p w14:paraId="2F9B4227" w14:textId="77777777" w:rsidR="00554B21" w:rsidRPr="00554B21" w:rsidRDefault="00554B21" w:rsidP="00554B21">
      <w:pPr>
        <w:pStyle w:val="EndNoteBibliography"/>
        <w:spacing w:after="0"/>
        <w:ind w:left="720" w:hanging="720"/>
      </w:pPr>
      <w:r w:rsidRPr="00554B21">
        <w:t xml:space="preserve">Hektner, J.M., Schmidt, J.A., &amp; Csíkszentmihályi, M. (2007). </w:t>
      </w:r>
      <w:r w:rsidRPr="00554B21">
        <w:rPr>
          <w:i/>
        </w:rPr>
        <w:t>Experience Sampling Method: Measuring the Quality of Everyday Life</w:t>
      </w:r>
      <w:r w:rsidRPr="00554B21">
        <w:t>. London: Sage.</w:t>
      </w:r>
    </w:p>
    <w:p w14:paraId="15F18696" w14:textId="77777777" w:rsidR="00554B21" w:rsidRPr="00554B21" w:rsidRDefault="00554B21" w:rsidP="00554B21">
      <w:pPr>
        <w:pStyle w:val="EndNoteBibliography"/>
        <w:spacing w:after="0"/>
        <w:ind w:left="720" w:hanging="720"/>
      </w:pPr>
      <w:r w:rsidRPr="00554B21">
        <w:t>Johansson, P., Jarl, J., Eriksson, A., Eriksson, M., Gerdtham, U.-G., Hemstrom, O., et al. (2006). The social costs of alcohol in Sweden 2002.  SoRAD Rapportserie, nr 36. Stockholm: Stockholms Universitet, SoRAD.</w:t>
      </w:r>
    </w:p>
    <w:p w14:paraId="533DCA61" w14:textId="77777777" w:rsidR="00554B21" w:rsidRPr="00554B21" w:rsidRDefault="00554B21" w:rsidP="00554B21">
      <w:pPr>
        <w:pStyle w:val="EndNoteBibliography"/>
        <w:spacing w:after="0"/>
        <w:ind w:left="720" w:hanging="720"/>
      </w:pPr>
      <w:r w:rsidRPr="00554B21">
        <w:t xml:space="preserve">Kahneman, D., &amp; Deaton, A. (2010). High income improves evaluation of life but not emotional well-being. </w:t>
      </w:r>
      <w:r w:rsidRPr="00554B21">
        <w:rPr>
          <w:i/>
        </w:rPr>
        <w:t xml:space="preserve">Proceedings of the National Academy of Sciences, </w:t>
      </w:r>
      <w:r w:rsidRPr="00554B21">
        <w:t>107, 16489-16493.</w:t>
      </w:r>
    </w:p>
    <w:p w14:paraId="3412852C" w14:textId="77777777" w:rsidR="00554B21" w:rsidRPr="00554B21" w:rsidRDefault="00554B21" w:rsidP="00554B21">
      <w:pPr>
        <w:pStyle w:val="EndNoteBibliography"/>
        <w:spacing w:after="0"/>
        <w:ind w:left="720" w:hanging="720"/>
      </w:pPr>
      <w:r w:rsidRPr="00554B21">
        <w:lastRenderedPageBreak/>
        <w:t xml:space="preserve">Keane, H. (2009). Intoxication, harm and pleasure: an analysis of the Australian National Alcohol Strategy. </w:t>
      </w:r>
      <w:r w:rsidRPr="00554B21">
        <w:rPr>
          <w:i/>
        </w:rPr>
        <w:t xml:space="preserve">Critical Public Health, </w:t>
      </w:r>
      <w:r w:rsidRPr="00554B21">
        <w:t>19, 135-142.</w:t>
      </w:r>
    </w:p>
    <w:p w14:paraId="29E437CD" w14:textId="77777777" w:rsidR="00554B21" w:rsidRPr="00554B21" w:rsidRDefault="00554B21" w:rsidP="00554B21">
      <w:pPr>
        <w:pStyle w:val="EndNoteBibliography"/>
        <w:spacing w:after="0"/>
        <w:ind w:left="720" w:hanging="720"/>
      </w:pPr>
      <w:r w:rsidRPr="00554B21">
        <w:t xml:space="preserve">King, A.C., de Wit, H., McNamara, P.J., &amp; Cao, D. (2011). Rewarding, stimulant, and sedative alcohol responses and relationship to future binge drinking. </w:t>
      </w:r>
      <w:r w:rsidRPr="00554B21">
        <w:rPr>
          <w:i/>
        </w:rPr>
        <w:t xml:space="preserve">Archives of General Psychiatry, </w:t>
      </w:r>
      <w:r w:rsidRPr="00554B21">
        <w:t>68, 389-399.</w:t>
      </w:r>
    </w:p>
    <w:p w14:paraId="2686A0F9" w14:textId="77777777" w:rsidR="00554B21" w:rsidRPr="00554B21" w:rsidRDefault="00554B21" w:rsidP="00554B21">
      <w:pPr>
        <w:pStyle w:val="EndNoteBibliography"/>
        <w:spacing w:after="0"/>
        <w:ind w:left="720" w:hanging="720"/>
      </w:pPr>
      <w:r w:rsidRPr="00554B21">
        <w:t xml:space="preserve">Koivumaa-Honkanen, H., Kaprio, J., Korhonen, T., Honkanen, R.J., Heikkilä, K., &amp; Koskenvuo, M. (2012). Self-reported Life Satisfaction and Alcohol use: A 15-year follow-up of Healthy Adult Twins. </w:t>
      </w:r>
      <w:r w:rsidRPr="00554B21">
        <w:rPr>
          <w:i/>
        </w:rPr>
        <w:t xml:space="preserve">Alcohol and Alcoholism, </w:t>
      </w:r>
      <w:r w:rsidRPr="00554B21">
        <w:t>47, 160-168.</w:t>
      </w:r>
    </w:p>
    <w:p w14:paraId="7B136AE2" w14:textId="77777777" w:rsidR="00554B21" w:rsidRPr="00554B21" w:rsidRDefault="00554B21" w:rsidP="00554B21">
      <w:pPr>
        <w:pStyle w:val="EndNoteBibliography"/>
        <w:spacing w:after="0"/>
        <w:ind w:left="720" w:hanging="720"/>
      </w:pPr>
      <w:r w:rsidRPr="00554B21">
        <w:t xml:space="preserve">Ladouceur, R., Blaszczynski, A., &amp; Lalande, D.R. (2012). Pre-commitment in gambling: a review of the empirical evidence. </w:t>
      </w:r>
      <w:r w:rsidRPr="00554B21">
        <w:rPr>
          <w:i/>
        </w:rPr>
        <w:t xml:space="preserve">International Gambling Studies, </w:t>
      </w:r>
      <w:r w:rsidRPr="00554B21">
        <w:t>12, 215-230.</w:t>
      </w:r>
    </w:p>
    <w:p w14:paraId="7CAD6C6D" w14:textId="77777777" w:rsidR="00554B21" w:rsidRPr="00554B21" w:rsidRDefault="00554B21" w:rsidP="00554B21">
      <w:pPr>
        <w:pStyle w:val="EndNoteBibliography"/>
        <w:spacing w:after="0"/>
        <w:ind w:left="720" w:hanging="720"/>
      </w:pPr>
      <w:r w:rsidRPr="00554B21">
        <w:t>Laslett, A.-M., Catalano, P., Chikritzhs, T., Dale, C., Doran, C., Ferris, J., et al. (2010). The range and magnitude of alcohol's harm to others. Deakin West, ACT: Alcohol Education and Rehabilitation Foundation.</w:t>
      </w:r>
    </w:p>
    <w:p w14:paraId="1DA912CE" w14:textId="77777777" w:rsidR="00554B21" w:rsidRPr="00554B21" w:rsidRDefault="00554B21" w:rsidP="00554B21">
      <w:pPr>
        <w:pStyle w:val="EndNoteBibliography"/>
        <w:spacing w:after="0"/>
        <w:ind w:left="720" w:hanging="720"/>
      </w:pPr>
      <w:r w:rsidRPr="00554B21">
        <w:t xml:space="preserve">Lelkes, O. (2013). Minimising Misery: A New Strategy for Public Policies Instead of Maximising Happiness? </w:t>
      </w:r>
      <w:r w:rsidRPr="00554B21">
        <w:rPr>
          <w:i/>
        </w:rPr>
        <w:t xml:space="preserve">Social Indicators Research, </w:t>
      </w:r>
      <w:r w:rsidRPr="00554B21">
        <w:t>114, 121-137.</w:t>
      </w:r>
    </w:p>
    <w:p w14:paraId="66788AD9" w14:textId="77777777" w:rsidR="00554B21" w:rsidRPr="00554B21" w:rsidRDefault="00554B21" w:rsidP="00554B21">
      <w:pPr>
        <w:pStyle w:val="EndNoteBibliography"/>
        <w:spacing w:after="0"/>
        <w:ind w:left="720" w:hanging="720"/>
      </w:pPr>
      <w:r w:rsidRPr="00554B21">
        <w:t xml:space="preserve">Lim et al (2012). A comparative risk assessment of burden of disease and injury attributable to 67 risk factors and risk factor clusters in 21 regions, 1990—2010: a systematic analysis for the Global Burden of Disease Study 2010. </w:t>
      </w:r>
      <w:r w:rsidRPr="00554B21">
        <w:rPr>
          <w:i/>
        </w:rPr>
        <w:t xml:space="preserve">The Lancet, </w:t>
      </w:r>
      <w:r w:rsidRPr="00554B21">
        <w:t>380, 2224 - 2260.</w:t>
      </w:r>
    </w:p>
    <w:p w14:paraId="20470AB5" w14:textId="77777777" w:rsidR="00554B21" w:rsidRPr="00554B21" w:rsidRDefault="00554B21" w:rsidP="00554B21">
      <w:pPr>
        <w:pStyle w:val="EndNoteBibliography"/>
        <w:spacing w:after="0"/>
        <w:ind w:left="720" w:hanging="720"/>
      </w:pPr>
      <w:r w:rsidRPr="00554B21">
        <w:t xml:space="preserve">MacKerron, G. (2012a). Hapiness economics from 35 000 feet. </w:t>
      </w:r>
      <w:r w:rsidRPr="00554B21">
        <w:rPr>
          <w:i/>
        </w:rPr>
        <w:t xml:space="preserve">Journal of Economic Surveys, </w:t>
      </w:r>
      <w:r w:rsidRPr="00554B21">
        <w:t>26, 705–735.</w:t>
      </w:r>
    </w:p>
    <w:p w14:paraId="3D3D0D7F" w14:textId="77777777" w:rsidR="00554B21" w:rsidRPr="00554B21" w:rsidRDefault="00554B21" w:rsidP="00554B21">
      <w:pPr>
        <w:pStyle w:val="EndNoteBibliography"/>
        <w:spacing w:after="0"/>
        <w:ind w:left="720" w:hanging="720"/>
      </w:pPr>
      <w:r w:rsidRPr="00554B21">
        <w:t>MacKerron, G. (2012b). Happiness and Environmental Quality.  PhD thesis. London: London School of Economics and Politics Science.</w:t>
      </w:r>
    </w:p>
    <w:p w14:paraId="0A70691C" w14:textId="77777777" w:rsidR="00554B21" w:rsidRPr="00554B21" w:rsidRDefault="00554B21" w:rsidP="00554B21">
      <w:pPr>
        <w:pStyle w:val="EndNoteBibliography"/>
        <w:spacing w:after="0"/>
        <w:ind w:left="720" w:hanging="720"/>
      </w:pPr>
      <w:r w:rsidRPr="00554B21">
        <w:t xml:space="preserve">MacKerron, G., &amp; Mourato, S. (2013). Happiness is greater in natural environments. </w:t>
      </w:r>
      <w:r w:rsidRPr="00554B21">
        <w:rPr>
          <w:i/>
        </w:rPr>
        <w:t xml:space="preserve">Global Environmental Change, </w:t>
      </w:r>
      <w:r w:rsidRPr="00554B21">
        <w:t>23, 992-1000.</w:t>
      </w:r>
    </w:p>
    <w:p w14:paraId="35995A1B" w14:textId="77777777" w:rsidR="00554B21" w:rsidRPr="00554B21" w:rsidRDefault="00554B21" w:rsidP="00554B21">
      <w:pPr>
        <w:pStyle w:val="EndNoteBibliography"/>
        <w:spacing w:after="0"/>
        <w:ind w:left="720" w:hanging="720"/>
      </w:pPr>
      <w:r w:rsidRPr="00554B21">
        <w:t xml:space="preserve">Martin, C.S., Earleywine, M., Musty, R.E., Perrine, M.W., &amp; Swift, R.M. (1993). Development and Validation of the Biphasic Alcohol Effects Scale. </w:t>
      </w:r>
      <w:r w:rsidRPr="00554B21">
        <w:rPr>
          <w:i/>
        </w:rPr>
        <w:t xml:space="preserve">Alcoholism: Clinical and Experimental Research, </w:t>
      </w:r>
      <w:r w:rsidRPr="00554B21">
        <w:t>17, 140-146.</w:t>
      </w:r>
    </w:p>
    <w:p w14:paraId="37488963" w14:textId="77777777" w:rsidR="00554B21" w:rsidRPr="00554B21" w:rsidRDefault="00554B21" w:rsidP="00554B21">
      <w:pPr>
        <w:pStyle w:val="EndNoteBibliography"/>
        <w:spacing w:after="0"/>
        <w:ind w:left="720" w:hanging="720"/>
      </w:pPr>
      <w:r w:rsidRPr="00554B21">
        <w:t xml:space="preserve">Mason, A.W., &amp; Spoth, R.L. (2011). Longitudinal Associations of Alcohol Involvement with Subjective Well-Being in Adolescence and Prediction to Alcohol Problems in Early Adulthood. </w:t>
      </w:r>
      <w:r w:rsidRPr="00554B21">
        <w:rPr>
          <w:i/>
        </w:rPr>
        <w:t xml:space="preserve">Journal of Youth and Adolescence, </w:t>
      </w:r>
      <w:r w:rsidRPr="00554B21">
        <w:t>40, 1215-1224.</w:t>
      </w:r>
    </w:p>
    <w:p w14:paraId="00C36593" w14:textId="77777777" w:rsidR="00554B21" w:rsidRPr="00554B21" w:rsidRDefault="00554B21" w:rsidP="00554B21">
      <w:pPr>
        <w:pStyle w:val="EndNoteBibliography"/>
        <w:spacing w:after="0"/>
        <w:ind w:left="720" w:hanging="720"/>
      </w:pPr>
      <w:r w:rsidRPr="00554B21">
        <w:t xml:space="preserve">Massin, S., &amp; Kopp, P. (2014). Is life satisfaction hump-shaped with alcohol consumption? Evidence from Russian panel data. </w:t>
      </w:r>
      <w:r w:rsidRPr="00554B21">
        <w:rPr>
          <w:i/>
        </w:rPr>
        <w:t xml:space="preserve">Addictive Behaviors, </w:t>
      </w:r>
      <w:r w:rsidRPr="00554B21">
        <w:t>39, 803-810.</w:t>
      </w:r>
    </w:p>
    <w:p w14:paraId="65615C3A" w14:textId="77777777" w:rsidR="00554B21" w:rsidRPr="00554B21" w:rsidRDefault="00554B21" w:rsidP="00554B21">
      <w:pPr>
        <w:pStyle w:val="EndNoteBibliography"/>
        <w:spacing w:after="0"/>
        <w:ind w:left="720" w:hanging="720"/>
      </w:pPr>
      <w:r w:rsidRPr="00554B21">
        <w:t xml:space="preserve">Molnar, D.S., Busseri, M.A., Perrier, C.P.K., &amp; Sadava, S.W. (2009). A Longitudinal Examination of Alcohol Use and Subjective Well-Being in an Undergraduate Sample. </w:t>
      </w:r>
      <w:r w:rsidRPr="00554B21">
        <w:rPr>
          <w:i/>
        </w:rPr>
        <w:t xml:space="preserve">Journal of Studies on Alcohol and Drugs, </w:t>
      </w:r>
      <w:r w:rsidRPr="00554B21">
        <w:t>70, 704-713.</w:t>
      </w:r>
    </w:p>
    <w:p w14:paraId="449F6603" w14:textId="77777777" w:rsidR="00554B21" w:rsidRPr="00554B21" w:rsidRDefault="00554B21" w:rsidP="00554B21">
      <w:pPr>
        <w:pStyle w:val="EndNoteBibliography"/>
        <w:spacing w:after="0"/>
        <w:ind w:left="720" w:hanging="720"/>
      </w:pPr>
      <w:r w:rsidRPr="00554B21">
        <w:t xml:space="preserve">Newcomb, M.D., Bentler, P.M., &amp; Collins, C. (1986). Alcohol use and dissatisfaction with self and life: A longitudinal analysis of young adults. </w:t>
      </w:r>
      <w:r w:rsidRPr="00554B21">
        <w:rPr>
          <w:i/>
        </w:rPr>
        <w:t xml:space="preserve">Journal of Drug Issues, </w:t>
      </w:r>
      <w:r w:rsidRPr="00554B21">
        <w:t>16, 479-494.</w:t>
      </w:r>
    </w:p>
    <w:p w14:paraId="04C4B6DB" w14:textId="77777777" w:rsidR="00554B21" w:rsidRPr="00554B21" w:rsidRDefault="00554B21" w:rsidP="00554B21">
      <w:pPr>
        <w:pStyle w:val="EndNoteBibliography"/>
        <w:spacing w:after="0"/>
        <w:ind w:left="720" w:hanging="720"/>
      </w:pPr>
      <w:r w:rsidRPr="00554B21">
        <w:t xml:space="preserve">Peele, S., &amp; Grant, M. (Eds.) (1999). </w:t>
      </w:r>
      <w:r w:rsidRPr="00554B21">
        <w:rPr>
          <w:i/>
        </w:rPr>
        <w:t>Alcohol and pleasure: a health perspective</w:t>
      </w:r>
      <w:r w:rsidRPr="00554B21">
        <w:t>. Philadelphia, PA: Taylor &amp; Francis.</w:t>
      </w:r>
    </w:p>
    <w:p w14:paraId="00F24D41" w14:textId="77777777" w:rsidR="00554B21" w:rsidRPr="00554B21" w:rsidRDefault="00554B21" w:rsidP="00554B21">
      <w:pPr>
        <w:pStyle w:val="EndNoteBibliography"/>
        <w:spacing w:after="0"/>
        <w:ind w:left="720" w:hanging="720"/>
      </w:pPr>
      <w:r w:rsidRPr="00554B21">
        <w:t xml:space="preserve">Plassmann, H., O'Doherty, J., Shiv, B., &amp; Rangel, A. (2008). Marketing actions can modulate neural representations of experienced pleasantness. </w:t>
      </w:r>
      <w:r w:rsidRPr="00554B21">
        <w:rPr>
          <w:i/>
        </w:rPr>
        <w:t xml:space="preserve">PNAS, </w:t>
      </w:r>
      <w:r w:rsidRPr="00554B21">
        <w:t>105, 1050-1054.</w:t>
      </w:r>
    </w:p>
    <w:p w14:paraId="56EFAE8C" w14:textId="77777777" w:rsidR="00554B21" w:rsidRPr="00554B21" w:rsidRDefault="00554B21" w:rsidP="00554B21">
      <w:pPr>
        <w:pStyle w:val="EndNoteBibliography"/>
        <w:spacing w:after="0"/>
        <w:ind w:left="720" w:hanging="720"/>
      </w:pPr>
      <w:r w:rsidRPr="00554B21">
        <w:t>Productivity Commission. (1999). Australia's Gambling Industries.  Report No 10. Canberra: AusInfo.</w:t>
      </w:r>
    </w:p>
    <w:p w14:paraId="37E856DD" w14:textId="77777777" w:rsidR="00554B21" w:rsidRPr="00554B21" w:rsidRDefault="00554B21" w:rsidP="00554B21">
      <w:pPr>
        <w:pStyle w:val="EndNoteBibliography"/>
        <w:spacing w:after="0"/>
        <w:ind w:left="720" w:hanging="720"/>
      </w:pPr>
      <w:r w:rsidRPr="00554B21">
        <w:t>Purshouse, R., Brennan, A., Latimer, N., Meng, Y., Rafia, R., Jackson, R., et al. (2009). Modelling to assess the effectiveness and cost-effectiveness of public health related strategies and interventions to reduce alcohol attributable harm in England using the Sheffield Alcohol Policy Model version 2.0. Sheffield: Report to the NICE Public Health Programme Development Group.</w:t>
      </w:r>
    </w:p>
    <w:p w14:paraId="3DFD2D25" w14:textId="77777777" w:rsidR="00554B21" w:rsidRPr="00554B21" w:rsidRDefault="00554B21" w:rsidP="00554B21">
      <w:pPr>
        <w:pStyle w:val="EndNoteBibliography"/>
        <w:spacing w:after="0"/>
        <w:ind w:left="720" w:hanging="720"/>
      </w:pPr>
      <w:r w:rsidRPr="00554B21">
        <w:t>Roodman, D. (2009). How to do xtabond2: An introduction to di</w:t>
      </w:r>
      <w:r w:rsidRPr="00554B21">
        <w:rPr>
          <w:rFonts w:ascii="Cambria Math" w:hAnsi="Cambria Math" w:cs="Cambria Math"/>
        </w:rPr>
        <w:t>ﬀ</w:t>
      </w:r>
      <w:r w:rsidRPr="00554B21">
        <w:t xml:space="preserve">erence and system GMM in Stata. </w:t>
      </w:r>
      <w:r w:rsidRPr="00554B21">
        <w:rPr>
          <w:i/>
        </w:rPr>
        <w:t xml:space="preserve">Stata Journal, </w:t>
      </w:r>
      <w:r w:rsidRPr="00554B21">
        <w:t>9, 86-136.</w:t>
      </w:r>
    </w:p>
    <w:p w14:paraId="51D483B6" w14:textId="77777777" w:rsidR="00554B21" w:rsidRPr="00554B21" w:rsidRDefault="00554B21" w:rsidP="00554B21">
      <w:pPr>
        <w:pStyle w:val="EndNoteBibliography"/>
        <w:spacing w:after="0"/>
        <w:ind w:left="720" w:hanging="720"/>
      </w:pPr>
      <w:r w:rsidRPr="00554B21">
        <w:t xml:space="preserve">Room, R. (2000). The more drinking, the more fun; but is there a calculus of fun, and should it drive policy? </w:t>
      </w:r>
      <w:r w:rsidRPr="00554B21">
        <w:rPr>
          <w:i/>
        </w:rPr>
        <w:t xml:space="preserve">Drug and Alcohol Dependence, </w:t>
      </w:r>
      <w:r w:rsidRPr="00554B21">
        <w:t>60, 249-250.</w:t>
      </w:r>
    </w:p>
    <w:p w14:paraId="4BEB34CD" w14:textId="77777777" w:rsidR="00554B21" w:rsidRPr="00554B21" w:rsidRDefault="00554B21" w:rsidP="00554B21">
      <w:pPr>
        <w:pStyle w:val="EndNoteBibliography"/>
        <w:spacing w:after="0"/>
        <w:ind w:left="720" w:hanging="720"/>
      </w:pPr>
      <w:r w:rsidRPr="00554B21">
        <w:t xml:space="preserve">Stone, A., &amp; Shiffman, S. (2002). Capturing momentary, self-report data: A proposal for reporting guidelines. </w:t>
      </w:r>
      <w:r w:rsidRPr="00554B21">
        <w:rPr>
          <w:i/>
        </w:rPr>
        <w:t xml:space="preserve">Annals of Behavioral Medicine,, </w:t>
      </w:r>
      <w:r w:rsidRPr="00554B21">
        <w:t>24, 236-243.</w:t>
      </w:r>
    </w:p>
    <w:p w14:paraId="58DA0775" w14:textId="77777777" w:rsidR="00554B21" w:rsidRPr="00554B21" w:rsidRDefault="00554B21" w:rsidP="00554B21">
      <w:pPr>
        <w:pStyle w:val="EndNoteBibliography"/>
        <w:spacing w:after="0"/>
        <w:ind w:left="720" w:hanging="720"/>
      </w:pPr>
      <w:r w:rsidRPr="00554B21">
        <w:lastRenderedPageBreak/>
        <w:t xml:space="preserve">Wiers, R.W., Van De Luitgaarden, J., Van Den Wildenberg, E., &amp; Smulders, F.T.Y. (2005). Challenging implicit and explicit alcohol-related cognitions in young heavy drinkers. </w:t>
      </w:r>
      <w:r w:rsidRPr="00554B21">
        <w:rPr>
          <w:i/>
        </w:rPr>
        <w:t xml:space="preserve">Addiction, </w:t>
      </w:r>
      <w:r w:rsidRPr="00554B21">
        <w:t>100, 806-819.</w:t>
      </w:r>
    </w:p>
    <w:p w14:paraId="6DEFC4BC" w14:textId="77777777" w:rsidR="00554B21" w:rsidRPr="00554B21" w:rsidRDefault="00554B21" w:rsidP="00554B21">
      <w:pPr>
        <w:pStyle w:val="EndNoteBibliography"/>
        <w:spacing w:after="0"/>
        <w:ind w:left="720" w:hanging="720"/>
      </w:pPr>
      <w:r w:rsidRPr="00554B21">
        <w:t>Wilkinson, W. (2007). In Pursuit of Happiness Research: Is It Reliable? What Does It Imply for Policy?  Policy Analysis No. 590. Washington, DC: Cato Institute.</w:t>
      </w:r>
    </w:p>
    <w:p w14:paraId="7C6577C3" w14:textId="77777777" w:rsidR="00554B21" w:rsidRPr="00554B21" w:rsidRDefault="00554B21" w:rsidP="00554B21">
      <w:pPr>
        <w:pStyle w:val="EndNoteBibliography"/>
        <w:ind w:left="720" w:hanging="720"/>
      </w:pPr>
      <w:r w:rsidRPr="00554B21">
        <w:t xml:space="preserve">Yörük, E.C., &amp; Yörük, B.K. (2012). The impact of drinking on psychological well-being: Evidence from minimum drinking age laws in the United States. </w:t>
      </w:r>
      <w:r w:rsidRPr="00554B21">
        <w:rPr>
          <w:i/>
        </w:rPr>
        <w:t xml:space="preserve">Social Science &amp; Medicine, </w:t>
      </w:r>
      <w:r w:rsidRPr="00554B21">
        <w:t>75, 1844-1854.</w:t>
      </w:r>
    </w:p>
    <w:p w14:paraId="41AE89CA" w14:textId="4546175A" w:rsidR="00EB19C5" w:rsidRDefault="002B15F0">
      <w:r>
        <w:fldChar w:fldCharType="end"/>
      </w:r>
    </w:p>
    <w:p w14:paraId="2CFABFB3" w14:textId="77777777" w:rsidR="00EB19C5" w:rsidRDefault="00EB19C5">
      <w:pPr>
        <w:spacing w:after="160" w:line="259" w:lineRule="auto"/>
      </w:pPr>
      <w:r>
        <w:br w:type="page"/>
      </w:r>
    </w:p>
    <w:p w14:paraId="2A98EE00" w14:textId="77777777" w:rsidR="00EB19C5" w:rsidRDefault="00EB19C5" w:rsidP="00EB19C5">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Regression of life satisfaction (0-10 scale) on alcohol consumption</w:t>
      </w:r>
    </w:p>
    <w:tbl>
      <w:tblPr>
        <w:tblW w:w="9660" w:type="dxa"/>
        <w:tblLook w:val="04A0" w:firstRow="1" w:lastRow="0" w:firstColumn="1" w:lastColumn="0" w:noHBand="0" w:noVBand="1"/>
      </w:tblPr>
      <w:tblGrid>
        <w:gridCol w:w="3500"/>
        <w:gridCol w:w="1540"/>
        <w:gridCol w:w="1540"/>
        <w:gridCol w:w="1540"/>
        <w:gridCol w:w="1540"/>
      </w:tblGrid>
      <w:tr w:rsidR="00EB19C5" w:rsidRPr="009530BA" w14:paraId="075CAF1D" w14:textId="77777777" w:rsidTr="00120421">
        <w:trPr>
          <w:trHeight w:val="276"/>
        </w:trPr>
        <w:tc>
          <w:tcPr>
            <w:tcW w:w="3500" w:type="dxa"/>
            <w:shd w:val="clear" w:color="auto" w:fill="auto"/>
            <w:noWrap/>
            <w:vAlign w:val="bottom"/>
            <w:hideMark/>
          </w:tcPr>
          <w:p w14:paraId="47EF43C7" w14:textId="77777777" w:rsidR="00EB19C5" w:rsidRPr="009530BA" w:rsidRDefault="00EB19C5" w:rsidP="00120421">
            <w:pPr>
              <w:spacing w:after="0" w:line="240" w:lineRule="auto"/>
              <w:rPr>
                <w:rFonts w:eastAsia="Times New Roman" w:cs="Times New Roman"/>
                <w:lang w:eastAsia="en-GB" w:bidi="ar-SA"/>
              </w:rPr>
            </w:pPr>
            <w:r w:rsidRPr="009530BA">
              <w:rPr>
                <w:rFonts w:eastAsia="Times New Roman" w:cs="Times New Roman"/>
                <w:lang w:eastAsia="en-GB" w:bidi="ar-SA"/>
              </w:rPr>
              <w:t> </w:t>
            </w:r>
          </w:p>
        </w:tc>
        <w:tc>
          <w:tcPr>
            <w:tcW w:w="1540" w:type="dxa"/>
            <w:shd w:val="clear" w:color="auto" w:fill="auto"/>
            <w:noWrap/>
            <w:vAlign w:val="bottom"/>
            <w:hideMark/>
          </w:tcPr>
          <w:p w14:paraId="4107F199" w14:textId="77777777" w:rsidR="00EB19C5" w:rsidRPr="009530BA" w:rsidRDefault="00EB19C5" w:rsidP="00120421">
            <w:pPr>
              <w:spacing w:after="0" w:line="240" w:lineRule="auto"/>
              <w:rPr>
                <w:rFonts w:eastAsia="Times New Roman" w:cs="Times New Roman"/>
                <w:lang w:eastAsia="en-GB" w:bidi="ar-SA"/>
              </w:rPr>
            </w:pPr>
            <w:r w:rsidRPr="009530BA">
              <w:rPr>
                <w:rFonts w:eastAsia="Times New Roman" w:cs="Times New Roman"/>
                <w:lang w:eastAsia="en-GB" w:bidi="ar-SA"/>
              </w:rPr>
              <w:t>OLS</w:t>
            </w:r>
          </w:p>
        </w:tc>
        <w:tc>
          <w:tcPr>
            <w:tcW w:w="1540" w:type="dxa"/>
            <w:shd w:val="clear" w:color="auto" w:fill="auto"/>
            <w:noWrap/>
            <w:vAlign w:val="bottom"/>
            <w:hideMark/>
          </w:tcPr>
          <w:p w14:paraId="68CC5F49" w14:textId="77777777" w:rsidR="00EB19C5" w:rsidRPr="009530BA" w:rsidRDefault="00EB19C5" w:rsidP="00120421">
            <w:pPr>
              <w:spacing w:after="0" w:line="240" w:lineRule="auto"/>
              <w:rPr>
                <w:rFonts w:eastAsia="Times New Roman" w:cs="Times New Roman"/>
                <w:lang w:eastAsia="en-GB" w:bidi="ar-SA"/>
              </w:rPr>
            </w:pPr>
            <w:r w:rsidRPr="009530BA">
              <w:rPr>
                <w:rFonts w:eastAsia="Times New Roman" w:cs="Times New Roman"/>
                <w:lang w:eastAsia="en-GB" w:bidi="ar-SA"/>
              </w:rPr>
              <w:t>OLS</w:t>
            </w:r>
          </w:p>
        </w:tc>
        <w:tc>
          <w:tcPr>
            <w:tcW w:w="1540" w:type="dxa"/>
            <w:shd w:val="clear" w:color="auto" w:fill="auto"/>
            <w:noWrap/>
            <w:vAlign w:val="bottom"/>
            <w:hideMark/>
          </w:tcPr>
          <w:p w14:paraId="03705228" w14:textId="77777777" w:rsidR="00EB19C5" w:rsidRPr="009530BA" w:rsidRDefault="00EB19C5" w:rsidP="00120421">
            <w:pPr>
              <w:spacing w:after="0" w:line="240" w:lineRule="auto"/>
              <w:rPr>
                <w:rFonts w:eastAsia="Times New Roman" w:cs="Times New Roman"/>
                <w:lang w:eastAsia="en-GB" w:bidi="ar-SA"/>
              </w:rPr>
            </w:pPr>
            <w:r w:rsidRPr="009530BA">
              <w:rPr>
                <w:rFonts w:eastAsia="Times New Roman" w:cs="Times New Roman"/>
                <w:lang w:eastAsia="en-GB" w:bidi="ar-SA"/>
              </w:rPr>
              <w:t>FE</w:t>
            </w:r>
          </w:p>
        </w:tc>
        <w:tc>
          <w:tcPr>
            <w:tcW w:w="1540" w:type="dxa"/>
            <w:shd w:val="clear" w:color="auto" w:fill="auto"/>
            <w:noWrap/>
            <w:vAlign w:val="bottom"/>
            <w:hideMark/>
          </w:tcPr>
          <w:p w14:paraId="070C8BD2" w14:textId="77777777" w:rsidR="00EB19C5" w:rsidRPr="009530BA" w:rsidRDefault="00EB19C5" w:rsidP="00120421">
            <w:pPr>
              <w:spacing w:after="0" w:line="240" w:lineRule="auto"/>
              <w:rPr>
                <w:rFonts w:eastAsia="Times New Roman" w:cs="Times New Roman"/>
                <w:lang w:eastAsia="en-GB" w:bidi="ar-SA"/>
              </w:rPr>
            </w:pPr>
            <w:r w:rsidRPr="009530BA">
              <w:rPr>
                <w:rFonts w:eastAsia="Times New Roman" w:cs="Times New Roman"/>
                <w:lang w:eastAsia="en-GB" w:bidi="ar-SA"/>
              </w:rPr>
              <w:t>FE</w:t>
            </w:r>
          </w:p>
        </w:tc>
      </w:tr>
      <w:tr w:rsidR="00EB19C5" w:rsidRPr="009530BA" w14:paraId="79267E57" w14:textId="77777777" w:rsidTr="00120421">
        <w:trPr>
          <w:trHeight w:val="276"/>
        </w:trPr>
        <w:tc>
          <w:tcPr>
            <w:tcW w:w="3500" w:type="dxa"/>
            <w:tcBorders>
              <w:bottom w:val="single" w:sz="4" w:space="0" w:color="auto"/>
            </w:tcBorders>
            <w:shd w:val="clear" w:color="auto" w:fill="auto"/>
            <w:noWrap/>
            <w:vAlign w:val="bottom"/>
            <w:hideMark/>
          </w:tcPr>
          <w:p w14:paraId="09B6AB61"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 </w:t>
            </w:r>
          </w:p>
        </w:tc>
        <w:tc>
          <w:tcPr>
            <w:tcW w:w="1540" w:type="dxa"/>
            <w:tcBorders>
              <w:bottom w:val="single" w:sz="4" w:space="0" w:color="auto"/>
            </w:tcBorders>
            <w:shd w:val="clear" w:color="auto" w:fill="auto"/>
            <w:noWrap/>
            <w:vAlign w:val="bottom"/>
            <w:hideMark/>
          </w:tcPr>
          <w:p w14:paraId="3FD9526C"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Unadjusted</w:t>
            </w:r>
          </w:p>
        </w:tc>
        <w:tc>
          <w:tcPr>
            <w:tcW w:w="1540" w:type="dxa"/>
            <w:tcBorders>
              <w:bottom w:val="single" w:sz="4" w:space="0" w:color="auto"/>
            </w:tcBorders>
            <w:shd w:val="clear" w:color="auto" w:fill="auto"/>
            <w:noWrap/>
            <w:vAlign w:val="bottom"/>
            <w:hideMark/>
          </w:tcPr>
          <w:p w14:paraId="0F3BDD31"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Adjusted</w:t>
            </w:r>
          </w:p>
        </w:tc>
        <w:tc>
          <w:tcPr>
            <w:tcW w:w="1540" w:type="dxa"/>
            <w:tcBorders>
              <w:bottom w:val="single" w:sz="4" w:space="0" w:color="auto"/>
            </w:tcBorders>
            <w:shd w:val="clear" w:color="auto" w:fill="auto"/>
            <w:noWrap/>
            <w:vAlign w:val="bottom"/>
            <w:hideMark/>
          </w:tcPr>
          <w:p w14:paraId="06A1601E"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Unadjusted</w:t>
            </w:r>
          </w:p>
        </w:tc>
        <w:tc>
          <w:tcPr>
            <w:tcW w:w="1540" w:type="dxa"/>
            <w:tcBorders>
              <w:bottom w:val="single" w:sz="4" w:space="0" w:color="auto"/>
            </w:tcBorders>
            <w:shd w:val="clear" w:color="auto" w:fill="auto"/>
            <w:noWrap/>
            <w:vAlign w:val="bottom"/>
            <w:hideMark/>
          </w:tcPr>
          <w:p w14:paraId="77F12507"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Adjusted</w:t>
            </w:r>
          </w:p>
        </w:tc>
      </w:tr>
      <w:tr w:rsidR="00EB19C5" w:rsidRPr="009530BA" w14:paraId="76A89B68" w14:textId="77777777" w:rsidTr="00120421">
        <w:trPr>
          <w:trHeight w:val="276"/>
        </w:trPr>
        <w:tc>
          <w:tcPr>
            <w:tcW w:w="3500" w:type="dxa"/>
            <w:tcBorders>
              <w:top w:val="single" w:sz="4" w:space="0" w:color="auto"/>
            </w:tcBorders>
            <w:shd w:val="clear" w:color="auto" w:fill="auto"/>
            <w:noWrap/>
            <w:vAlign w:val="bottom"/>
          </w:tcPr>
          <w:p w14:paraId="54C9D919" w14:textId="77777777" w:rsidR="00EB19C5" w:rsidRPr="005526F9" w:rsidRDefault="00EB19C5" w:rsidP="00120421">
            <w:pPr>
              <w:spacing w:after="0" w:line="240" w:lineRule="auto"/>
              <w:rPr>
                <w:rFonts w:eastAsia="Times New Roman" w:cs="Times New Roman"/>
                <w:b/>
                <w:color w:val="000000"/>
                <w:lang w:eastAsia="en-GB" w:bidi="ar-SA"/>
              </w:rPr>
            </w:pPr>
            <w:r>
              <w:rPr>
                <w:rFonts w:eastAsia="Times New Roman" w:cs="Times New Roman"/>
                <w:b/>
                <w:color w:val="000000"/>
                <w:lang w:eastAsia="en-GB" w:bidi="ar-SA"/>
              </w:rPr>
              <w:t>Past 7 days’ consumption</w:t>
            </w:r>
          </w:p>
        </w:tc>
        <w:tc>
          <w:tcPr>
            <w:tcW w:w="1540" w:type="dxa"/>
            <w:tcBorders>
              <w:top w:val="single" w:sz="4" w:space="0" w:color="auto"/>
            </w:tcBorders>
            <w:shd w:val="clear" w:color="auto" w:fill="auto"/>
            <w:noWrap/>
            <w:vAlign w:val="bottom"/>
          </w:tcPr>
          <w:p w14:paraId="5E9A79E8" w14:textId="77777777" w:rsidR="00EB19C5" w:rsidRPr="009530BA" w:rsidRDefault="00EB19C5" w:rsidP="00120421">
            <w:pPr>
              <w:spacing w:after="0" w:line="240" w:lineRule="auto"/>
              <w:rPr>
                <w:rFonts w:eastAsia="Times New Roman" w:cs="Times New Roman"/>
                <w:color w:val="000000"/>
                <w:lang w:eastAsia="en-GB" w:bidi="ar-SA"/>
              </w:rPr>
            </w:pPr>
          </w:p>
        </w:tc>
        <w:tc>
          <w:tcPr>
            <w:tcW w:w="1540" w:type="dxa"/>
            <w:tcBorders>
              <w:top w:val="single" w:sz="4" w:space="0" w:color="auto"/>
            </w:tcBorders>
            <w:shd w:val="clear" w:color="auto" w:fill="auto"/>
            <w:noWrap/>
            <w:vAlign w:val="bottom"/>
          </w:tcPr>
          <w:p w14:paraId="6743B3B6" w14:textId="77777777" w:rsidR="00EB19C5" w:rsidRPr="009530BA" w:rsidRDefault="00EB19C5" w:rsidP="00120421">
            <w:pPr>
              <w:spacing w:after="0" w:line="240" w:lineRule="auto"/>
              <w:rPr>
                <w:rFonts w:eastAsia="Times New Roman" w:cs="Times New Roman"/>
                <w:color w:val="000000"/>
                <w:lang w:eastAsia="en-GB" w:bidi="ar-SA"/>
              </w:rPr>
            </w:pPr>
          </w:p>
        </w:tc>
        <w:tc>
          <w:tcPr>
            <w:tcW w:w="1540" w:type="dxa"/>
            <w:tcBorders>
              <w:top w:val="single" w:sz="4" w:space="0" w:color="auto"/>
            </w:tcBorders>
            <w:shd w:val="clear" w:color="auto" w:fill="auto"/>
            <w:noWrap/>
            <w:vAlign w:val="bottom"/>
          </w:tcPr>
          <w:p w14:paraId="2B5245AE" w14:textId="77777777" w:rsidR="00EB19C5" w:rsidRPr="009530BA" w:rsidRDefault="00EB19C5" w:rsidP="00120421">
            <w:pPr>
              <w:spacing w:after="0" w:line="240" w:lineRule="auto"/>
              <w:rPr>
                <w:rFonts w:eastAsia="Times New Roman" w:cs="Times New Roman"/>
                <w:color w:val="000000"/>
                <w:lang w:eastAsia="en-GB" w:bidi="ar-SA"/>
              </w:rPr>
            </w:pPr>
          </w:p>
        </w:tc>
        <w:tc>
          <w:tcPr>
            <w:tcW w:w="1540" w:type="dxa"/>
            <w:tcBorders>
              <w:top w:val="single" w:sz="4" w:space="0" w:color="auto"/>
            </w:tcBorders>
            <w:shd w:val="clear" w:color="auto" w:fill="auto"/>
            <w:noWrap/>
            <w:vAlign w:val="bottom"/>
          </w:tcPr>
          <w:p w14:paraId="0E47E1A8" w14:textId="77777777" w:rsidR="00EB19C5" w:rsidRPr="009530BA" w:rsidRDefault="00EB19C5" w:rsidP="00120421">
            <w:pPr>
              <w:spacing w:after="0" w:line="240" w:lineRule="auto"/>
              <w:rPr>
                <w:rFonts w:eastAsia="Times New Roman" w:cs="Times New Roman"/>
                <w:color w:val="000000"/>
                <w:lang w:eastAsia="en-GB" w:bidi="ar-SA"/>
              </w:rPr>
            </w:pPr>
          </w:p>
        </w:tc>
      </w:tr>
      <w:tr w:rsidR="00EB19C5" w:rsidRPr="009530BA" w14:paraId="388BE57D" w14:textId="77777777" w:rsidTr="00120421">
        <w:trPr>
          <w:trHeight w:val="276"/>
        </w:trPr>
        <w:tc>
          <w:tcPr>
            <w:tcW w:w="3500" w:type="dxa"/>
            <w:shd w:val="clear" w:color="auto" w:fill="auto"/>
            <w:noWrap/>
            <w:vAlign w:val="bottom"/>
            <w:hideMark/>
          </w:tcPr>
          <w:p w14:paraId="3D5ED985"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Zero consumption (ref group)</w:t>
            </w:r>
          </w:p>
        </w:tc>
        <w:tc>
          <w:tcPr>
            <w:tcW w:w="1540" w:type="dxa"/>
            <w:shd w:val="clear" w:color="auto" w:fill="auto"/>
            <w:noWrap/>
            <w:vAlign w:val="bottom"/>
            <w:hideMark/>
          </w:tcPr>
          <w:p w14:paraId="7ACB9D01"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(ref)</w:t>
            </w:r>
          </w:p>
        </w:tc>
        <w:tc>
          <w:tcPr>
            <w:tcW w:w="1540" w:type="dxa"/>
            <w:shd w:val="clear" w:color="auto" w:fill="auto"/>
            <w:noWrap/>
            <w:vAlign w:val="bottom"/>
            <w:hideMark/>
          </w:tcPr>
          <w:p w14:paraId="70531976"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(ref)</w:t>
            </w:r>
          </w:p>
        </w:tc>
        <w:tc>
          <w:tcPr>
            <w:tcW w:w="1540" w:type="dxa"/>
            <w:shd w:val="clear" w:color="auto" w:fill="auto"/>
            <w:noWrap/>
            <w:vAlign w:val="bottom"/>
            <w:hideMark/>
          </w:tcPr>
          <w:p w14:paraId="3F04A580"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(ref)</w:t>
            </w:r>
          </w:p>
        </w:tc>
        <w:tc>
          <w:tcPr>
            <w:tcW w:w="1540" w:type="dxa"/>
            <w:shd w:val="clear" w:color="auto" w:fill="auto"/>
            <w:noWrap/>
            <w:vAlign w:val="bottom"/>
            <w:hideMark/>
          </w:tcPr>
          <w:p w14:paraId="304DED0D"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(ref)</w:t>
            </w:r>
          </w:p>
        </w:tc>
      </w:tr>
      <w:tr w:rsidR="00EB19C5" w:rsidRPr="009530BA" w14:paraId="64BCB327" w14:textId="77777777" w:rsidTr="00120421">
        <w:trPr>
          <w:trHeight w:val="276"/>
        </w:trPr>
        <w:tc>
          <w:tcPr>
            <w:tcW w:w="3500" w:type="dxa"/>
            <w:shd w:val="clear" w:color="auto" w:fill="auto"/>
            <w:noWrap/>
            <w:vAlign w:val="bottom"/>
            <w:hideMark/>
          </w:tcPr>
          <w:p w14:paraId="69EFB71D"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&lt;1 unit/</w:t>
            </w:r>
            <w:proofErr w:type="spellStart"/>
            <w:r w:rsidRPr="009530BA">
              <w:rPr>
                <w:rFonts w:eastAsia="Times New Roman" w:cs="Times New Roman"/>
                <w:color w:val="000000"/>
                <w:lang w:eastAsia="en-GB" w:bidi="ar-SA"/>
              </w:rPr>
              <w:t>wk</w:t>
            </w:r>
            <w:proofErr w:type="spellEnd"/>
          </w:p>
        </w:tc>
        <w:tc>
          <w:tcPr>
            <w:tcW w:w="1540" w:type="dxa"/>
            <w:shd w:val="clear" w:color="auto" w:fill="auto"/>
            <w:noWrap/>
            <w:vAlign w:val="bottom"/>
            <w:hideMark/>
          </w:tcPr>
          <w:p w14:paraId="2C50B10C"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0.25</w:t>
            </w:r>
            <w:r>
              <w:rPr>
                <w:rFonts w:eastAsia="Times New Roman" w:cs="Times New Roman"/>
                <w:color w:val="000000"/>
                <w:lang w:eastAsia="en-GB" w:bidi="ar-SA"/>
              </w:rPr>
              <w:t>**</w:t>
            </w:r>
          </w:p>
        </w:tc>
        <w:tc>
          <w:tcPr>
            <w:tcW w:w="1540" w:type="dxa"/>
            <w:shd w:val="clear" w:color="auto" w:fill="auto"/>
            <w:noWrap/>
            <w:vAlign w:val="bottom"/>
            <w:hideMark/>
          </w:tcPr>
          <w:p w14:paraId="2EA4E736"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0.06</w:t>
            </w:r>
          </w:p>
        </w:tc>
        <w:tc>
          <w:tcPr>
            <w:tcW w:w="1540" w:type="dxa"/>
            <w:shd w:val="clear" w:color="auto" w:fill="auto"/>
            <w:noWrap/>
            <w:vAlign w:val="bottom"/>
            <w:hideMark/>
          </w:tcPr>
          <w:p w14:paraId="0746D1E5"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0.03</w:t>
            </w:r>
          </w:p>
        </w:tc>
        <w:tc>
          <w:tcPr>
            <w:tcW w:w="1540" w:type="dxa"/>
            <w:shd w:val="clear" w:color="auto" w:fill="auto"/>
            <w:noWrap/>
            <w:vAlign w:val="bottom"/>
            <w:hideMark/>
          </w:tcPr>
          <w:p w14:paraId="42EEF869"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0.03</w:t>
            </w:r>
          </w:p>
        </w:tc>
      </w:tr>
      <w:tr w:rsidR="00EB19C5" w:rsidRPr="009530BA" w14:paraId="30209097" w14:textId="77777777" w:rsidTr="00120421">
        <w:trPr>
          <w:trHeight w:val="276"/>
        </w:trPr>
        <w:tc>
          <w:tcPr>
            <w:tcW w:w="3500" w:type="dxa"/>
            <w:shd w:val="clear" w:color="auto" w:fill="auto"/>
            <w:noWrap/>
            <w:vAlign w:val="bottom"/>
            <w:hideMark/>
          </w:tcPr>
          <w:p w14:paraId="3631C54C"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1-10 (male) / 1-7 (female) units</w:t>
            </w:r>
          </w:p>
        </w:tc>
        <w:tc>
          <w:tcPr>
            <w:tcW w:w="1540" w:type="dxa"/>
            <w:shd w:val="clear" w:color="auto" w:fill="auto"/>
            <w:noWrap/>
            <w:vAlign w:val="bottom"/>
            <w:hideMark/>
          </w:tcPr>
          <w:p w14:paraId="2E6ABE31"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0.29</w:t>
            </w:r>
            <w:r>
              <w:rPr>
                <w:rFonts w:eastAsia="Times New Roman" w:cs="Times New Roman"/>
                <w:color w:val="000000"/>
                <w:lang w:eastAsia="en-GB" w:bidi="ar-SA"/>
              </w:rPr>
              <w:t>**</w:t>
            </w:r>
          </w:p>
        </w:tc>
        <w:tc>
          <w:tcPr>
            <w:tcW w:w="1540" w:type="dxa"/>
            <w:shd w:val="clear" w:color="auto" w:fill="auto"/>
            <w:noWrap/>
            <w:vAlign w:val="bottom"/>
            <w:hideMark/>
          </w:tcPr>
          <w:p w14:paraId="500F1F83"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0.12</w:t>
            </w:r>
            <w:r>
              <w:rPr>
                <w:rFonts w:eastAsia="Times New Roman" w:cs="Times New Roman"/>
                <w:color w:val="000000"/>
                <w:lang w:eastAsia="en-GB" w:bidi="ar-SA"/>
              </w:rPr>
              <w:t>**</w:t>
            </w:r>
          </w:p>
        </w:tc>
        <w:tc>
          <w:tcPr>
            <w:tcW w:w="1540" w:type="dxa"/>
            <w:shd w:val="clear" w:color="auto" w:fill="auto"/>
            <w:noWrap/>
            <w:vAlign w:val="bottom"/>
            <w:hideMark/>
          </w:tcPr>
          <w:p w14:paraId="6F38C9E4"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0.01</w:t>
            </w:r>
          </w:p>
        </w:tc>
        <w:tc>
          <w:tcPr>
            <w:tcW w:w="1540" w:type="dxa"/>
            <w:shd w:val="clear" w:color="auto" w:fill="auto"/>
            <w:noWrap/>
            <w:vAlign w:val="bottom"/>
            <w:hideMark/>
          </w:tcPr>
          <w:p w14:paraId="70A61FD8"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0.06</w:t>
            </w:r>
          </w:p>
        </w:tc>
      </w:tr>
      <w:tr w:rsidR="00EB19C5" w:rsidRPr="009530BA" w14:paraId="08EC1BA1" w14:textId="77777777" w:rsidTr="00120421">
        <w:trPr>
          <w:trHeight w:val="276"/>
        </w:trPr>
        <w:tc>
          <w:tcPr>
            <w:tcW w:w="3500" w:type="dxa"/>
            <w:shd w:val="clear" w:color="auto" w:fill="auto"/>
            <w:noWrap/>
            <w:vAlign w:val="bottom"/>
            <w:hideMark/>
          </w:tcPr>
          <w:p w14:paraId="6C57B2B7"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10-21 (male) / 7-14 (female) units</w:t>
            </w:r>
          </w:p>
        </w:tc>
        <w:tc>
          <w:tcPr>
            <w:tcW w:w="1540" w:type="dxa"/>
            <w:shd w:val="clear" w:color="auto" w:fill="auto"/>
            <w:noWrap/>
            <w:vAlign w:val="bottom"/>
            <w:hideMark/>
          </w:tcPr>
          <w:p w14:paraId="7B7009B8"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0.21</w:t>
            </w:r>
            <w:r>
              <w:rPr>
                <w:rFonts w:eastAsia="Times New Roman" w:cs="Times New Roman"/>
                <w:color w:val="000000"/>
                <w:lang w:eastAsia="en-GB" w:bidi="ar-SA"/>
              </w:rPr>
              <w:t>**</w:t>
            </w:r>
          </w:p>
        </w:tc>
        <w:tc>
          <w:tcPr>
            <w:tcW w:w="1540" w:type="dxa"/>
            <w:shd w:val="clear" w:color="auto" w:fill="auto"/>
            <w:noWrap/>
            <w:vAlign w:val="bottom"/>
            <w:hideMark/>
          </w:tcPr>
          <w:p w14:paraId="1431BF9F"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0.13</w:t>
            </w:r>
            <w:r>
              <w:rPr>
                <w:rFonts w:eastAsia="Times New Roman" w:cs="Times New Roman"/>
                <w:color w:val="000000"/>
                <w:lang w:eastAsia="en-GB" w:bidi="ar-SA"/>
              </w:rPr>
              <w:t>**</w:t>
            </w:r>
          </w:p>
        </w:tc>
        <w:tc>
          <w:tcPr>
            <w:tcW w:w="1540" w:type="dxa"/>
            <w:shd w:val="clear" w:color="auto" w:fill="auto"/>
            <w:noWrap/>
            <w:vAlign w:val="bottom"/>
            <w:hideMark/>
          </w:tcPr>
          <w:p w14:paraId="53910044"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-0.05</w:t>
            </w:r>
          </w:p>
        </w:tc>
        <w:tc>
          <w:tcPr>
            <w:tcW w:w="1540" w:type="dxa"/>
            <w:shd w:val="clear" w:color="auto" w:fill="auto"/>
            <w:noWrap/>
            <w:vAlign w:val="bottom"/>
            <w:hideMark/>
          </w:tcPr>
          <w:p w14:paraId="7CC411CF"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0.03</w:t>
            </w:r>
          </w:p>
        </w:tc>
      </w:tr>
      <w:tr w:rsidR="00EB19C5" w:rsidRPr="009530BA" w14:paraId="571CB841" w14:textId="77777777" w:rsidTr="00120421">
        <w:trPr>
          <w:trHeight w:val="276"/>
        </w:trPr>
        <w:tc>
          <w:tcPr>
            <w:tcW w:w="3500" w:type="dxa"/>
            <w:shd w:val="clear" w:color="auto" w:fill="auto"/>
            <w:noWrap/>
            <w:vAlign w:val="bottom"/>
            <w:hideMark/>
          </w:tcPr>
          <w:p w14:paraId="64EC927A"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21-35 (male) / 14-21 (female) units</w:t>
            </w:r>
          </w:p>
        </w:tc>
        <w:tc>
          <w:tcPr>
            <w:tcW w:w="1540" w:type="dxa"/>
            <w:shd w:val="clear" w:color="auto" w:fill="auto"/>
            <w:noWrap/>
            <w:vAlign w:val="bottom"/>
            <w:hideMark/>
          </w:tcPr>
          <w:p w14:paraId="62BC4BDA"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0.15</w:t>
            </w:r>
            <w:r>
              <w:rPr>
                <w:rFonts w:eastAsia="Times New Roman" w:cs="Times New Roman"/>
                <w:color w:val="000000"/>
                <w:lang w:eastAsia="en-GB" w:bidi="ar-SA"/>
              </w:rPr>
              <w:t>**</w:t>
            </w:r>
          </w:p>
        </w:tc>
        <w:tc>
          <w:tcPr>
            <w:tcW w:w="1540" w:type="dxa"/>
            <w:shd w:val="clear" w:color="auto" w:fill="auto"/>
            <w:noWrap/>
            <w:vAlign w:val="bottom"/>
            <w:hideMark/>
          </w:tcPr>
          <w:p w14:paraId="6CB6DBDC"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0.13</w:t>
            </w:r>
            <w:r>
              <w:rPr>
                <w:rFonts w:eastAsia="Times New Roman" w:cs="Times New Roman"/>
                <w:color w:val="000000"/>
                <w:lang w:eastAsia="en-GB" w:bidi="ar-SA"/>
              </w:rPr>
              <w:t>**</w:t>
            </w:r>
          </w:p>
        </w:tc>
        <w:tc>
          <w:tcPr>
            <w:tcW w:w="1540" w:type="dxa"/>
            <w:shd w:val="clear" w:color="auto" w:fill="auto"/>
            <w:noWrap/>
            <w:vAlign w:val="bottom"/>
            <w:hideMark/>
          </w:tcPr>
          <w:p w14:paraId="3E1D75D1"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-0.11</w:t>
            </w:r>
            <w:r>
              <w:rPr>
                <w:rFonts w:eastAsia="Times New Roman" w:cs="Times New Roman"/>
                <w:color w:val="000000"/>
                <w:lang w:eastAsia="en-GB" w:bidi="ar-SA"/>
              </w:rPr>
              <w:t>*</w:t>
            </w:r>
          </w:p>
        </w:tc>
        <w:tc>
          <w:tcPr>
            <w:tcW w:w="1540" w:type="dxa"/>
            <w:shd w:val="clear" w:color="auto" w:fill="auto"/>
            <w:noWrap/>
            <w:vAlign w:val="bottom"/>
            <w:hideMark/>
          </w:tcPr>
          <w:p w14:paraId="0B3DA62D"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-0.03</w:t>
            </w:r>
          </w:p>
        </w:tc>
      </w:tr>
      <w:tr w:rsidR="00EB19C5" w:rsidRPr="009530BA" w14:paraId="46EC6440" w14:textId="77777777" w:rsidTr="00120421">
        <w:trPr>
          <w:trHeight w:val="276"/>
        </w:trPr>
        <w:tc>
          <w:tcPr>
            <w:tcW w:w="3500" w:type="dxa"/>
            <w:shd w:val="clear" w:color="auto" w:fill="auto"/>
            <w:noWrap/>
            <w:vAlign w:val="bottom"/>
            <w:hideMark/>
          </w:tcPr>
          <w:p w14:paraId="03D58064"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35-50 (male) / 21-35 (female) units</w:t>
            </w:r>
          </w:p>
        </w:tc>
        <w:tc>
          <w:tcPr>
            <w:tcW w:w="1540" w:type="dxa"/>
            <w:shd w:val="clear" w:color="auto" w:fill="auto"/>
            <w:noWrap/>
            <w:vAlign w:val="bottom"/>
            <w:hideMark/>
          </w:tcPr>
          <w:p w14:paraId="30AB2996"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0.06</w:t>
            </w:r>
          </w:p>
        </w:tc>
        <w:tc>
          <w:tcPr>
            <w:tcW w:w="1540" w:type="dxa"/>
            <w:shd w:val="clear" w:color="auto" w:fill="auto"/>
            <w:noWrap/>
            <w:vAlign w:val="bottom"/>
            <w:hideMark/>
          </w:tcPr>
          <w:p w14:paraId="31672E3E"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0.14</w:t>
            </w:r>
            <w:r>
              <w:rPr>
                <w:rFonts w:eastAsia="Times New Roman" w:cs="Times New Roman"/>
                <w:color w:val="000000"/>
                <w:lang w:eastAsia="en-GB" w:bidi="ar-SA"/>
              </w:rPr>
              <w:t>*</w:t>
            </w:r>
          </w:p>
        </w:tc>
        <w:tc>
          <w:tcPr>
            <w:tcW w:w="1540" w:type="dxa"/>
            <w:shd w:val="clear" w:color="auto" w:fill="auto"/>
            <w:noWrap/>
            <w:vAlign w:val="bottom"/>
            <w:hideMark/>
          </w:tcPr>
          <w:p w14:paraId="5E65D6B0"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-0.18</w:t>
            </w:r>
            <w:r>
              <w:rPr>
                <w:rFonts w:eastAsia="Times New Roman" w:cs="Times New Roman"/>
                <w:color w:val="000000"/>
                <w:lang w:eastAsia="en-GB" w:bidi="ar-SA"/>
              </w:rPr>
              <w:t>**</w:t>
            </w:r>
          </w:p>
        </w:tc>
        <w:tc>
          <w:tcPr>
            <w:tcW w:w="1540" w:type="dxa"/>
            <w:shd w:val="clear" w:color="auto" w:fill="auto"/>
            <w:noWrap/>
            <w:vAlign w:val="bottom"/>
            <w:hideMark/>
          </w:tcPr>
          <w:p w14:paraId="03EA19CC"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-0.05</w:t>
            </w:r>
          </w:p>
        </w:tc>
      </w:tr>
      <w:tr w:rsidR="00EB19C5" w:rsidRPr="009530BA" w14:paraId="3FE494D2" w14:textId="77777777" w:rsidTr="00120421">
        <w:trPr>
          <w:trHeight w:val="276"/>
        </w:trPr>
        <w:tc>
          <w:tcPr>
            <w:tcW w:w="3500" w:type="dxa"/>
            <w:shd w:val="clear" w:color="auto" w:fill="auto"/>
            <w:noWrap/>
            <w:vAlign w:val="bottom"/>
            <w:hideMark/>
          </w:tcPr>
          <w:p w14:paraId="75CECD7A"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50+ (male) / 35+ (female) units</w:t>
            </w:r>
          </w:p>
        </w:tc>
        <w:tc>
          <w:tcPr>
            <w:tcW w:w="1540" w:type="dxa"/>
            <w:shd w:val="clear" w:color="auto" w:fill="auto"/>
            <w:noWrap/>
            <w:vAlign w:val="bottom"/>
            <w:hideMark/>
          </w:tcPr>
          <w:p w14:paraId="19ADC68C"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-0.38</w:t>
            </w:r>
            <w:r>
              <w:rPr>
                <w:rFonts w:eastAsia="Times New Roman" w:cs="Times New Roman"/>
                <w:color w:val="000000"/>
                <w:lang w:eastAsia="en-GB" w:bidi="ar-SA"/>
              </w:rPr>
              <w:t>**</w:t>
            </w:r>
          </w:p>
        </w:tc>
        <w:tc>
          <w:tcPr>
            <w:tcW w:w="1540" w:type="dxa"/>
            <w:shd w:val="clear" w:color="auto" w:fill="auto"/>
            <w:noWrap/>
            <w:vAlign w:val="bottom"/>
            <w:hideMark/>
          </w:tcPr>
          <w:p w14:paraId="3AA69AB0" w14:textId="77777777" w:rsidR="00EB19C5" w:rsidRPr="009530BA" w:rsidRDefault="00EB19C5" w:rsidP="00120421">
            <w:pPr>
              <w:spacing w:after="0" w:line="240" w:lineRule="auto"/>
              <w:rPr>
                <w:rFonts w:eastAsia="Times New Roman" w:cs="Times New Roman"/>
                <w:color w:val="000000"/>
                <w:lang w:eastAsia="en-GB" w:bidi="ar-SA"/>
              </w:rPr>
            </w:pPr>
            <w:r>
              <w:rPr>
                <w:rFonts w:eastAsia="Times New Roman" w:cs="Times New Roman"/>
                <w:color w:val="000000"/>
                <w:lang w:eastAsia="en-GB" w:bidi="ar-SA"/>
              </w:rPr>
              <w:t>-</w:t>
            </w:r>
            <w:r w:rsidRPr="009530BA">
              <w:rPr>
                <w:rFonts w:eastAsia="Times New Roman" w:cs="Times New Roman"/>
                <w:color w:val="000000"/>
                <w:lang w:eastAsia="en-GB" w:bidi="ar-SA"/>
              </w:rPr>
              <w:t>0.00</w:t>
            </w:r>
          </w:p>
        </w:tc>
        <w:tc>
          <w:tcPr>
            <w:tcW w:w="1540" w:type="dxa"/>
            <w:shd w:val="clear" w:color="auto" w:fill="auto"/>
            <w:noWrap/>
            <w:vAlign w:val="bottom"/>
            <w:hideMark/>
          </w:tcPr>
          <w:p w14:paraId="248923C3"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-0.26</w:t>
            </w:r>
            <w:r>
              <w:rPr>
                <w:rFonts w:eastAsia="Times New Roman" w:cs="Times New Roman"/>
                <w:color w:val="000000"/>
                <w:lang w:eastAsia="en-GB" w:bidi="ar-SA"/>
              </w:rPr>
              <w:t>**</w:t>
            </w:r>
          </w:p>
        </w:tc>
        <w:tc>
          <w:tcPr>
            <w:tcW w:w="1540" w:type="dxa"/>
            <w:shd w:val="clear" w:color="auto" w:fill="auto"/>
            <w:noWrap/>
            <w:vAlign w:val="bottom"/>
            <w:hideMark/>
          </w:tcPr>
          <w:p w14:paraId="3C2DB0CE" w14:textId="77777777" w:rsidR="00EB19C5" w:rsidRPr="009530BA" w:rsidRDefault="00EB19C5" w:rsidP="00120421">
            <w:pPr>
              <w:spacing w:after="0" w:line="240" w:lineRule="auto"/>
              <w:rPr>
                <w:rFonts w:eastAsia="Times New Roman" w:cs="Times New Roman"/>
                <w:color w:val="000000"/>
                <w:lang w:eastAsia="en-GB" w:bidi="ar-SA"/>
              </w:rPr>
            </w:pPr>
            <w:r w:rsidRPr="009530BA">
              <w:rPr>
                <w:rFonts w:eastAsia="Times New Roman" w:cs="Times New Roman"/>
                <w:color w:val="000000"/>
                <w:lang w:eastAsia="en-GB" w:bidi="ar-SA"/>
              </w:rPr>
              <w:t>-0.13</w:t>
            </w:r>
          </w:p>
        </w:tc>
      </w:tr>
      <w:tr w:rsidR="00EB19C5" w:rsidRPr="009530BA" w14:paraId="479A2835" w14:textId="77777777" w:rsidTr="00120421">
        <w:trPr>
          <w:trHeight w:val="276"/>
        </w:trPr>
        <w:tc>
          <w:tcPr>
            <w:tcW w:w="3500" w:type="dxa"/>
            <w:tcBorders>
              <w:bottom w:val="single" w:sz="4" w:space="0" w:color="auto"/>
            </w:tcBorders>
            <w:shd w:val="clear" w:color="auto" w:fill="auto"/>
            <w:noWrap/>
            <w:vAlign w:val="bottom"/>
            <w:hideMark/>
          </w:tcPr>
          <w:p w14:paraId="3F2E08CB" w14:textId="77777777" w:rsidR="00EB19C5" w:rsidRPr="009530BA" w:rsidRDefault="00EB19C5" w:rsidP="00120421">
            <w:pPr>
              <w:spacing w:after="0" w:line="240" w:lineRule="auto"/>
              <w:jc w:val="right"/>
              <w:rPr>
                <w:rFonts w:eastAsia="Times New Roman" w:cs="Times New Roman"/>
                <w:i/>
                <w:color w:val="000000"/>
                <w:lang w:eastAsia="en-GB" w:bidi="ar-SA"/>
              </w:rPr>
            </w:pPr>
            <w:r w:rsidRPr="009530BA">
              <w:rPr>
                <w:rFonts w:eastAsia="Times New Roman" w:cs="Times New Roman"/>
                <w:i/>
                <w:color w:val="000000"/>
                <w:lang w:eastAsia="en-GB" w:bidi="ar-SA"/>
              </w:rPr>
              <w:t xml:space="preserve">Joint </w:t>
            </w:r>
            <w:r>
              <w:rPr>
                <w:rFonts w:eastAsia="Times New Roman" w:cs="Times New Roman"/>
                <w:i/>
                <w:color w:val="000000"/>
                <w:lang w:eastAsia="en-GB" w:bidi="ar-SA"/>
              </w:rPr>
              <w:t>significance</w:t>
            </w:r>
            <w:r w:rsidRPr="009530BA">
              <w:rPr>
                <w:rFonts w:eastAsia="Times New Roman" w:cs="Times New Roman"/>
                <w:i/>
                <w:color w:val="000000"/>
                <w:lang w:eastAsia="en-GB" w:bidi="ar-SA"/>
              </w:rPr>
              <w:t xml:space="preserve"> of terms</w:t>
            </w:r>
          </w:p>
        </w:tc>
        <w:tc>
          <w:tcPr>
            <w:tcW w:w="1540" w:type="dxa"/>
            <w:tcBorders>
              <w:bottom w:val="single" w:sz="4" w:space="0" w:color="auto"/>
            </w:tcBorders>
            <w:shd w:val="clear" w:color="auto" w:fill="auto"/>
            <w:noWrap/>
            <w:vAlign w:val="bottom"/>
            <w:hideMark/>
          </w:tcPr>
          <w:p w14:paraId="641418AE" w14:textId="77777777" w:rsidR="00EB19C5" w:rsidRPr="009530BA" w:rsidRDefault="00EB19C5" w:rsidP="00120421">
            <w:pPr>
              <w:spacing w:after="0" w:line="240" w:lineRule="auto"/>
              <w:jc w:val="center"/>
              <w:rPr>
                <w:rFonts w:eastAsia="Times New Roman" w:cs="Times New Roman"/>
                <w:i/>
                <w:color w:val="000000"/>
                <w:lang w:eastAsia="en-GB" w:bidi="ar-SA"/>
              </w:rPr>
            </w:pPr>
            <w:r w:rsidRPr="000D720E">
              <w:rPr>
                <w:rFonts w:eastAsia="Times New Roman" w:cs="Times New Roman"/>
                <w:i/>
                <w:color w:val="000000"/>
                <w:lang w:eastAsia="en-GB" w:bidi="ar-SA"/>
              </w:rPr>
              <w:t>**</w:t>
            </w:r>
          </w:p>
        </w:tc>
        <w:tc>
          <w:tcPr>
            <w:tcW w:w="1540" w:type="dxa"/>
            <w:tcBorders>
              <w:bottom w:val="single" w:sz="4" w:space="0" w:color="auto"/>
            </w:tcBorders>
            <w:shd w:val="clear" w:color="auto" w:fill="auto"/>
            <w:noWrap/>
            <w:vAlign w:val="bottom"/>
            <w:hideMark/>
          </w:tcPr>
          <w:p w14:paraId="7203A93E" w14:textId="77777777" w:rsidR="00EB19C5" w:rsidRPr="009530BA" w:rsidRDefault="00EB19C5" w:rsidP="00120421">
            <w:pPr>
              <w:spacing w:after="0" w:line="240" w:lineRule="auto"/>
              <w:jc w:val="center"/>
              <w:rPr>
                <w:rFonts w:eastAsia="Times New Roman" w:cs="Times New Roman"/>
                <w:i/>
                <w:color w:val="000000"/>
                <w:lang w:eastAsia="en-GB" w:bidi="ar-SA"/>
              </w:rPr>
            </w:pPr>
            <w:r w:rsidRPr="000D720E">
              <w:rPr>
                <w:rFonts w:eastAsia="Times New Roman" w:cs="Times New Roman"/>
                <w:i/>
                <w:color w:val="000000"/>
                <w:lang w:eastAsia="en-GB" w:bidi="ar-SA"/>
              </w:rPr>
              <w:t>**</w:t>
            </w:r>
          </w:p>
        </w:tc>
        <w:tc>
          <w:tcPr>
            <w:tcW w:w="1540" w:type="dxa"/>
            <w:tcBorders>
              <w:bottom w:val="single" w:sz="4" w:space="0" w:color="auto"/>
            </w:tcBorders>
            <w:shd w:val="clear" w:color="auto" w:fill="auto"/>
            <w:noWrap/>
            <w:vAlign w:val="bottom"/>
            <w:hideMark/>
          </w:tcPr>
          <w:p w14:paraId="1180AE28" w14:textId="77777777" w:rsidR="00EB19C5" w:rsidRPr="009530BA" w:rsidRDefault="00EB19C5" w:rsidP="00120421">
            <w:pPr>
              <w:spacing w:after="0" w:line="240" w:lineRule="auto"/>
              <w:jc w:val="center"/>
              <w:rPr>
                <w:rFonts w:eastAsia="Times New Roman" w:cs="Times New Roman"/>
                <w:i/>
                <w:color w:val="000000"/>
                <w:lang w:eastAsia="en-GB" w:bidi="ar-SA"/>
              </w:rPr>
            </w:pPr>
            <w:r w:rsidRPr="000D720E">
              <w:rPr>
                <w:rFonts w:eastAsia="Times New Roman" w:cs="Times New Roman"/>
                <w:i/>
                <w:color w:val="000000"/>
                <w:lang w:eastAsia="en-GB" w:bidi="ar-SA"/>
              </w:rPr>
              <w:t>**</w:t>
            </w:r>
          </w:p>
        </w:tc>
        <w:tc>
          <w:tcPr>
            <w:tcW w:w="1540" w:type="dxa"/>
            <w:tcBorders>
              <w:bottom w:val="single" w:sz="4" w:space="0" w:color="auto"/>
            </w:tcBorders>
            <w:shd w:val="clear" w:color="auto" w:fill="auto"/>
            <w:noWrap/>
            <w:vAlign w:val="bottom"/>
            <w:hideMark/>
          </w:tcPr>
          <w:p w14:paraId="10A5E6F6" w14:textId="77777777" w:rsidR="00EB19C5" w:rsidRPr="009530BA" w:rsidRDefault="00EB19C5" w:rsidP="00120421">
            <w:pPr>
              <w:spacing w:after="0" w:line="240" w:lineRule="auto"/>
              <w:jc w:val="center"/>
              <w:rPr>
                <w:rFonts w:eastAsia="Times New Roman" w:cs="Times New Roman"/>
                <w:i/>
                <w:color w:val="000000"/>
                <w:lang w:eastAsia="en-GB" w:bidi="ar-SA"/>
              </w:rPr>
            </w:pPr>
            <w:r w:rsidRPr="000D720E">
              <w:rPr>
                <w:rFonts w:eastAsia="Times New Roman" w:cs="Times New Roman"/>
                <w:i/>
                <w:color w:val="000000"/>
                <w:lang w:eastAsia="en-GB" w:bidi="ar-SA"/>
              </w:rPr>
              <w:t>ns</w:t>
            </w:r>
          </w:p>
        </w:tc>
      </w:tr>
      <w:tr w:rsidR="00EB19C5" w:rsidRPr="009530BA" w14:paraId="532BE46B" w14:textId="77777777" w:rsidTr="00120421">
        <w:trPr>
          <w:trHeight w:val="276"/>
        </w:trPr>
        <w:tc>
          <w:tcPr>
            <w:tcW w:w="3500" w:type="dxa"/>
            <w:tcBorders>
              <w:top w:val="single" w:sz="4" w:space="0" w:color="auto"/>
              <w:bottom w:val="single" w:sz="4" w:space="0" w:color="auto"/>
            </w:tcBorders>
            <w:shd w:val="clear" w:color="auto" w:fill="auto"/>
            <w:noWrap/>
            <w:vAlign w:val="bottom"/>
          </w:tcPr>
          <w:p w14:paraId="000565FB" w14:textId="77777777" w:rsidR="00EB19C5" w:rsidRPr="009530BA" w:rsidRDefault="00EB19C5" w:rsidP="00120421">
            <w:pPr>
              <w:spacing w:after="0" w:line="240" w:lineRule="auto"/>
              <w:rPr>
                <w:rFonts w:eastAsia="Times New Roman" w:cs="Times New Roman"/>
                <w:i/>
                <w:color w:val="000000"/>
                <w:lang w:eastAsia="en-GB" w:bidi="ar-SA"/>
              </w:rPr>
            </w:pPr>
            <w:r>
              <w:rPr>
                <w:color w:val="000000"/>
              </w:rPr>
              <w:t>Never drink</w:t>
            </w:r>
          </w:p>
        </w:tc>
        <w:tc>
          <w:tcPr>
            <w:tcW w:w="1540" w:type="dxa"/>
            <w:tcBorders>
              <w:top w:val="single" w:sz="4" w:space="0" w:color="auto"/>
              <w:bottom w:val="single" w:sz="4" w:space="0" w:color="auto"/>
            </w:tcBorders>
            <w:shd w:val="clear" w:color="auto" w:fill="auto"/>
            <w:noWrap/>
            <w:vAlign w:val="bottom"/>
          </w:tcPr>
          <w:p w14:paraId="6A25F0CC" w14:textId="77777777" w:rsidR="00EB19C5" w:rsidRPr="000D720E" w:rsidRDefault="00EB19C5" w:rsidP="00120421">
            <w:pPr>
              <w:spacing w:after="0" w:line="240" w:lineRule="auto"/>
              <w:rPr>
                <w:rFonts w:eastAsia="Times New Roman" w:cs="Times New Roman"/>
                <w:i/>
                <w:color w:val="000000"/>
                <w:lang w:eastAsia="en-GB" w:bidi="ar-SA"/>
              </w:rPr>
            </w:pPr>
            <w:r>
              <w:rPr>
                <w:color w:val="000000"/>
              </w:rPr>
              <w:t>-0.23**</w:t>
            </w:r>
          </w:p>
        </w:tc>
        <w:tc>
          <w:tcPr>
            <w:tcW w:w="1540" w:type="dxa"/>
            <w:tcBorders>
              <w:top w:val="single" w:sz="4" w:space="0" w:color="auto"/>
              <w:bottom w:val="single" w:sz="4" w:space="0" w:color="auto"/>
            </w:tcBorders>
            <w:shd w:val="clear" w:color="auto" w:fill="auto"/>
            <w:noWrap/>
            <w:vAlign w:val="bottom"/>
          </w:tcPr>
          <w:p w14:paraId="4C93BF2A" w14:textId="77777777" w:rsidR="00EB19C5" w:rsidRPr="000D720E" w:rsidRDefault="00EB19C5" w:rsidP="00120421">
            <w:pPr>
              <w:spacing w:after="0" w:line="240" w:lineRule="auto"/>
              <w:rPr>
                <w:rFonts w:eastAsia="Times New Roman" w:cs="Times New Roman"/>
                <w:i/>
                <w:color w:val="000000"/>
                <w:lang w:eastAsia="en-GB" w:bidi="ar-SA"/>
              </w:rPr>
            </w:pPr>
            <w:r>
              <w:rPr>
                <w:color w:val="000000"/>
              </w:rPr>
              <w:t>-0.14*</w:t>
            </w:r>
          </w:p>
        </w:tc>
        <w:tc>
          <w:tcPr>
            <w:tcW w:w="1540" w:type="dxa"/>
            <w:tcBorders>
              <w:top w:val="single" w:sz="4" w:space="0" w:color="auto"/>
              <w:bottom w:val="single" w:sz="4" w:space="0" w:color="auto"/>
            </w:tcBorders>
            <w:shd w:val="clear" w:color="auto" w:fill="auto"/>
            <w:noWrap/>
            <w:vAlign w:val="bottom"/>
          </w:tcPr>
          <w:p w14:paraId="5B199C07" w14:textId="77777777" w:rsidR="00EB19C5" w:rsidRPr="000D720E" w:rsidRDefault="00EB19C5" w:rsidP="00120421">
            <w:pPr>
              <w:spacing w:after="0" w:line="240" w:lineRule="auto"/>
              <w:rPr>
                <w:rFonts w:eastAsia="Times New Roman" w:cs="Times New Roman"/>
                <w:i/>
                <w:color w:val="000000"/>
                <w:lang w:eastAsia="en-GB" w:bidi="ar-SA"/>
              </w:rPr>
            </w:pPr>
            <w:r>
              <w:rPr>
                <w:color w:val="000000"/>
              </w:rPr>
              <w:t>-0.023</w:t>
            </w:r>
          </w:p>
        </w:tc>
        <w:tc>
          <w:tcPr>
            <w:tcW w:w="1540" w:type="dxa"/>
            <w:tcBorders>
              <w:top w:val="single" w:sz="4" w:space="0" w:color="auto"/>
              <w:bottom w:val="single" w:sz="4" w:space="0" w:color="auto"/>
            </w:tcBorders>
            <w:shd w:val="clear" w:color="auto" w:fill="auto"/>
            <w:noWrap/>
            <w:vAlign w:val="bottom"/>
          </w:tcPr>
          <w:p w14:paraId="0083965B" w14:textId="77777777" w:rsidR="00EB19C5" w:rsidRPr="000D720E" w:rsidRDefault="00EB19C5" w:rsidP="00120421">
            <w:pPr>
              <w:spacing w:after="0" w:line="240" w:lineRule="auto"/>
              <w:rPr>
                <w:rFonts w:eastAsia="Times New Roman" w:cs="Times New Roman"/>
                <w:i/>
                <w:color w:val="000000"/>
                <w:lang w:eastAsia="en-GB" w:bidi="ar-SA"/>
              </w:rPr>
            </w:pPr>
            <w:r>
              <w:rPr>
                <w:color w:val="000000"/>
              </w:rPr>
              <w:t>0.013</w:t>
            </w:r>
          </w:p>
        </w:tc>
      </w:tr>
      <w:tr w:rsidR="00EB19C5" w:rsidRPr="009530BA" w14:paraId="6246F1D3" w14:textId="77777777" w:rsidTr="00120421">
        <w:trPr>
          <w:trHeight w:val="276"/>
        </w:trPr>
        <w:tc>
          <w:tcPr>
            <w:tcW w:w="3500" w:type="dxa"/>
            <w:tcBorders>
              <w:top w:val="single" w:sz="4" w:space="0" w:color="auto"/>
            </w:tcBorders>
            <w:shd w:val="clear" w:color="auto" w:fill="auto"/>
            <w:noWrap/>
            <w:vAlign w:val="bottom"/>
            <w:hideMark/>
          </w:tcPr>
          <w:p w14:paraId="55E6C206"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n (person-waves)</w:t>
            </w:r>
          </w:p>
        </w:tc>
        <w:tc>
          <w:tcPr>
            <w:tcW w:w="1540" w:type="dxa"/>
            <w:tcBorders>
              <w:top w:val="single" w:sz="4" w:space="0" w:color="auto"/>
            </w:tcBorders>
            <w:shd w:val="clear" w:color="auto" w:fill="auto"/>
            <w:noWrap/>
            <w:vAlign w:val="bottom"/>
            <w:hideMark/>
          </w:tcPr>
          <w:p w14:paraId="10AE4DBA"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29145</w:t>
            </w:r>
          </w:p>
        </w:tc>
        <w:tc>
          <w:tcPr>
            <w:tcW w:w="1540" w:type="dxa"/>
            <w:tcBorders>
              <w:top w:val="single" w:sz="4" w:space="0" w:color="auto"/>
            </w:tcBorders>
            <w:shd w:val="clear" w:color="auto" w:fill="auto"/>
            <w:noWrap/>
            <w:vAlign w:val="bottom"/>
            <w:hideMark/>
          </w:tcPr>
          <w:p w14:paraId="09E8A17B"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25920</w:t>
            </w:r>
          </w:p>
        </w:tc>
        <w:tc>
          <w:tcPr>
            <w:tcW w:w="1540" w:type="dxa"/>
            <w:tcBorders>
              <w:top w:val="single" w:sz="4" w:space="0" w:color="auto"/>
            </w:tcBorders>
            <w:shd w:val="clear" w:color="auto" w:fill="auto"/>
            <w:noWrap/>
            <w:vAlign w:val="bottom"/>
            <w:hideMark/>
          </w:tcPr>
          <w:p w14:paraId="3C87950B"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29145</w:t>
            </w:r>
          </w:p>
        </w:tc>
        <w:tc>
          <w:tcPr>
            <w:tcW w:w="1540" w:type="dxa"/>
            <w:tcBorders>
              <w:top w:val="single" w:sz="4" w:space="0" w:color="auto"/>
            </w:tcBorders>
            <w:shd w:val="clear" w:color="auto" w:fill="auto"/>
            <w:noWrap/>
            <w:vAlign w:val="bottom"/>
            <w:hideMark/>
          </w:tcPr>
          <w:p w14:paraId="386DAB07"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25920</w:t>
            </w:r>
          </w:p>
        </w:tc>
      </w:tr>
      <w:tr w:rsidR="00EB19C5" w:rsidRPr="009530BA" w14:paraId="4F2AB065" w14:textId="77777777" w:rsidTr="00120421">
        <w:trPr>
          <w:trHeight w:val="276"/>
        </w:trPr>
        <w:tc>
          <w:tcPr>
            <w:tcW w:w="3500" w:type="dxa"/>
            <w:shd w:val="clear" w:color="auto" w:fill="auto"/>
            <w:noWrap/>
            <w:vAlign w:val="bottom"/>
          </w:tcPr>
          <w:p w14:paraId="56B81407"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n (persons)</w:t>
            </w:r>
          </w:p>
        </w:tc>
        <w:tc>
          <w:tcPr>
            <w:tcW w:w="1540" w:type="dxa"/>
            <w:shd w:val="clear" w:color="auto" w:fill="auto"/>
            <w:noWrap/>
            <w:vAlign w:val="bottom"/>
          </w:tcPr>
          <w:p w14:paraId="6EE52B5B"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10107</w:t>
            </w:r>
          </w:p>
        </w:tc>
        <w:tc>
          <w:tcPr>
            <w:tcW w:w="1540" w:type="dxa"/>
            <w:shd w:val="clear" w:color="auto" w:fill="auto"/>
            <w:noWrap/>
            <w:vAlign w:val="bottom"/>
          </w:tcPr>
          <w:p w14:paraId="68BD2197"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9469</w:t>
            </w:r>
          </w:p>
        </w:tc>
        <w:tc>
          <w:tcPr>
            <w:tcW w:w="1540" w:type="dxa"/>
            <w:shd w:val="clear" w:color="auto" w:fill="auto"/>
            <w:noWrap/>
            <w:vAlign w:val="bottom"/>
          </w:tcPr>
          <w:p w14:paraId="3ABE8E79"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10107</w:t>
            </w:r>
          </w:p>
        </w:tc>
        <w:tc>
          <w:tcPr>
            <w:tcW w:w="1540" w:type="dxa"/>
            <w:shd w:val="clear" w:color="auto" w:fill="auto"/>
            <w:noWrap/>
            <w:vAlign w:val="bottom"/>
          </w:tcPr>
          <w:p w14:paraId="3B6C9205"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9469</w:t>
            </w:r>
          </w:p>
        </w:tc>
      </w:tr>
    </w:tbl>
    <w:p w14:paraId="33BDDFB8" w14:textId="77777777" w:rsidR="00EB19C5" w:rsidRDefault="00EB19C5" w:rsidP="00EB19C5">
      <w:pPr>
        <w:spacing w:before="240" w:line="240" w:lineRule="auto"/>
        <w:ind w:left="284" w:right="237"/>
        <w:rPr>
          <w:i/>
          <w:sz w:val="20"/>
        </w:rPr>
      </w:pPr>
      <w:r>
        <w:rPr>
          <w:i/>
          <w:sz w:val="20"/>
        </w:rPr>
        <w:t xml:space="preserve">Significance: **=p&lt;0.01; *=p&lt;0.05; </w:t>
      </w:r>
      <w:r w:rsidRPr="008D4CAD">
        <w:rPr>
          <w:i/>
          <w:sz w:val="20"/>
        </w:rPr>
        <w:t>+</w:t>
      </w:r>
      <w:r>
        <w:rPr>
          <w:i/>
          <w:sz w:val="20"/>
        </w:rPr>
        <w:t xml:space="preserve">=p&lt;0.10.  See </w:t>
      </w:r>
      <w:r w:rsidRPr="00F27732">
        <w:rPr>
          <w:i/>
          <w:sz w:val="20"/>
        </w:rPr>
        <w:t>Web Appendix S2</w:t>
      </w:r>
      <w:r>
        <w:rPr>
          <w:i/>
          <w:sz w:val="20"/>
        </w:rPr>
        <w:t xml:space="preserve"> for coefficients on controls.</w:t>
      </w:r>
    </w:p>
    <w:p w14:paraId="163C6532" w14:textId="77777777" w:rsidR="00EB19C5" w:rsidRDefault="00EB19C5" w:rsidP="00EB19C5">
      <w:pPr>
        <w:spacing w:after="160" w:line="259" w:lineRule="auto"/>
      </w:pPr>
      <w:r>
        <w:br w:type="page"/>
      </w:r>
    </w:p>
    <w:p w14:paraId="2602F05B" w14:textId="77777777" w:rsidR="00EB19C5" w:rsidRPr="00C1464C" w:rsidRDefault="00EB19C5" w:rsidP="00EB19C5">
      <w:pPr>
        <w:pStyle w:val="Caption"/>
      </w:pPr>
      <w:r>
        <w:lastRenderedPageBreak/>
        <w:t xml:space="preserve">Table </w:t>
      </w:r>
      <w:r>
        <w:fldChar w:fldCharType="begin"/>
      </w:r>
      <w:r>
        <w:instrText xml:space="preserve"> SEQ Table \* ARABIC </w:instrText>
      </w:r>
      <w:r>
        <w:fldChar w:fldCharType="separate"/>
      </w:r>
      <w:r>
        <w:rPr>
          <w:noProof/>
        </w:rPr>
        <w:t>2</w:t>
      </w:r>
      <w:r>
        <w:rPr>
          <w:noProof/>
        </w:rPr>
        <w:fldChar w:fldCharType="end"/>
      </w:r>
      <w:r>
        <w:t>: Regression of life satisfaction (0-10 scale) on other drinking measures</w:t>
      </w:r>
    </w:p>
    <w:tbl>
      <w:tblPr>
        <w:tblW w:w="8220" w:type="dxa"/>
        <w:tblLook w:val="04A0" w:firstRow="1" w:lastRow="0" w:firstColumn="1" w:lastColumn="0" w:noHBand="0" w:noVBand="1"/>
      </w:tblPr>
      <w:tblGrid>
        <w:gridCol w:w="3500"/>
        <w:gridCol w:w="1180"/>
        <w:gridCol w:w="1180"/>
        <w:gridCol w:w="1180"/>
        <w:gridCol w:w="1180"/>
      </w:tblGrid>
      <w:tr w:rsidR="00EB19C5" w:rsidRPr="00C1464C" w14:paraId="1390306C" w14:textId="77777777" w:rsidTr="00120421">
        <w:trPr>
          <w:trHeight w:val="288"/>
        </w:trPr>
        <w:tc>
          <w:tcPr>
            <w:tcW w:w="3500" w:type="dxa"/>
            <w:tcBorders>
              <w:top w:val="nil"/>
              <w:left w:val="nil"/>
              <w:bottom w:val="nil"/>
            </w:tcBorders>
            <w:shd w:val="clear" w:color="auto" w:fill="auto"/>
            <w:noWrap/>
            <w:vAlign w:val="bottom"/>
            <w:hideMark/>
          </w:tcPr>
          <w:p w14:paraId="59CB8795" w14:textId="77777777" w:rsidR="00EB19C5" w:rsidRPr="00C1464C" w:rsidRDefault="00EB19C5" w:rsidP="00120421">
            <w:pPr>
              <w:spacing w:after="0" w:line="240" w:lineRule="auto"/>
              <w:rPr>
                <w:rFonts w:eastAsia="Times New Roman" w:cs="Times New Roman"/>
                <w:lang w:eastAsia="en-GB" w:bidi="ar-SA"/>
              </w:rPr>
            </w:pPr>
            <w:r w:rsidRPr="00C1464C">
              <w:rPr>
                <w:rFonts w:eastAsia="Times New Roman" w:cs="Times New Roman"/>
                <w:lang w:eastAsia="en-GB" w:bidi="ar-SA"/>
              </w:rPr>
              <w:t> </w:t>
            </w:r>
          </w:p>
        </w:tc>
        <w:tc>
          <w:tcPr>
            <w:tcW w:w="1180" w:type="dxa"/>
            <w:tcBorders>
              <w:top w:val="nil"/>
              <w:bottom w:val="nil"/>
              <w:right w:val="nil"/>
            </w:tcBorders>
            <w:shd w:val="clear" w:color="auto" w:fill="auto"/>
            <w:noWrap/>
            <w:vAlign w:val="bottom"/>
            <w:hideMark/>
          </w:tcPr>
          <w:p w14:paraId="701D45A1" w14:textId="77777777" w:rsidR="00EB19C5" w:rsidRPr="00C1464C" w:rsidRDefault="00EB19C5" w:rsidP="00120421">
            <w:pPr>
              <w:spacing w:after="0" w:line="240" w:lineRule="auto"/>
              <w:rPr>
                <w:rFonts w:eastAsia="Times New Roman" w:cs="Times New Roman"/>
                <w:lang w:eastAsia="en-GB" w:bidi="ar-SA"/>
              </w:rPr>
            </w:pPr>
            <w:r w:rsidRPr="00C1464C">
              <w:rPr>
                <w:rFonts w:eastAsia="Times New Roman" w:cs="Times New Roman"/>
                <w:lang w:eastAsia="en-GB" w:bidi="ar-SA"/>
              </w:rPr>
              <w:t>OLS</w:t>
            </w:r>
          </w:p>
        </w:tc>
        <w:tc>
          <w:tcPr>
            <w:tcW w:w="1180" w:type="dxa"/>
            <w:tcBorders>
              <w:top w:val="nil"/>
              <w:left w:val="nil"/>
              <w:bottom w:val="nil"/>
            </w:tcBorders>
            <w:shd w:val="clear" w:color="auto" w:fill="auto"/>
            <w:noWrap/>
            <w:vAlign w:val="bottom"/>
            <w:hideMark/>
          </w:tcPr>
          <w:p w14:paraId="2E051DE9" w14:textId="77777777" w:rsidR="00EB19C5" w:rsidRPr="00C1464C" w:rsidRDefault="00EB19C5" w:rsidP="00120421">
            <w:pPr>
              <w:spacing w:after="0" w:line="240" w:lineRule="auto"/>
              <w:rPr>
                <w:rFonts w:eastAsia="Times New Roman" w:cs="Times New Roman"/>
                <w:lang w:eastAsia="en-GB" w:bidi="ar-SA"/>
              </w:rPr>
            </w:pPr>
            <w:r w:rsidRPr="00C1464C">
              <w:rPr>
                <w:rFonts w:eastAsia="Times New Roman" w:cs="Times New Roman"/>
                <w:lang w:eastAsia="en-GB" w:bidi="ar-SA"/>
              </w:rPr>
              <w:t>FE</w:t>
            </w:r>
          </w:p>
        </w:tc>
        <w:tc>
          <w:tcPr>
            <w:tcW w:w="1180" w:type="dxa"/>
            <w:tcBorders>
              <w:top w:val="nil"/>
              <w:bottom w:val="nil"/>
              <w:right w:val="nil"/>
            </w:tcBorders>
            <w:shd w:val="clear" w:color="auto" w:fill="auto"/>
            <w:noWrap/>
            <w:vAlign w:val="bottom"/>
            <w:hideMark/>
          </w:tcPr>
          <w:p w14:paraId="15594731" w14:textId="77777777" w:rsidR="00EB19C5" w:rsidRPr="00C1464C" w:rsidRDefault="00EB19C5" w:rsidP="00120421">
            <w:pPr>
              <w:spacing w:after="0" w:line="240" w:lineRule="auto"/>
              <w:rPr>
                <w:rFonts w:eastAsia="Times New Roman" w:cs="Times New Roman"/>
                <w:lang w:eastAsia="en-GB" w:bidi="ar-SA"/>
              </w:rPr>
            </w:pPr>
            <w:r w:rsidRPr="00C1464C">
              <w:rPr>
                <w:rFonts w:eastAsia="Times New Roman" w:cs="Times New Roman"/>
                <w:lang w:eastAsia="en-GB" w:bidi="ar-SA"/>
              </w:rPr>
              <w:t>OLS</w:t>
            </w:r>
          </w:p>
        </w:tc>
        <w:tc>
          <w:tcPr>
            <w:tcW w:w="1180" w:type="dxa"/>
            <w:tcBorders>
              <w:top w:val="nil"/>
              <w:left w:val="nil"/>
              <w:bottom w:val="nil"/>
            </w:tcBorders>
            <w:shd w:val="clear" w:color="auto" w:fill="auto"/>
            <w:noWrap/>
            <w:vAlign w:val="bottom"/>
            <w:hideMark/>
          </w:tcPr>
          <w:p w14:paraId="1D0CEA96" w14:textId="77777777" w:rsidR="00EB19C5" w:rsidRPr="00C1464C" w:rsidRDefault="00EB19C5" w:rsidP="00120421">
            <w:pPr>
              <w:spacing w:after="0" w:line="240" w:lineRule="auto"/>
              <w:rPr>
                <w:rFonts w:eastAsia="Times New Roman" w:cs="Times New Roman"/>
                <w:lang w:eastAsia="en-GB" w:bidi="ar-SA"/>
              </w:rPr>
            </w:pPr>
            <w:r w:rsidRPr="00C1464C">
              <w:rPr>
                <w:rFonts w:eastAsia="Times New Roman" w:cs="Times New Roman"/>
                <w:lang w:eastAsia="en-GB" w:bidi="ar-SA"/>
              </w:rPr>
              <w:t>FE</w:t>
            </w:r>
          </w:p>
        </w:tc>
      </w:tr>
      <w:tr w:rsidR="00EB19C5" w:rsidRPr="00C1464C" w14:paraId="2A35B865" w14:textId="77777777" w:rsidTr="00120421">
        <w:trPr>
          <w:trHeight w:val="276"/>
        </w:trPr>
        <w:tc>
          <w:tcPr>
            <w:tcW w:w="3500" w:type="dxa"/>
            <w:tcBorders>
              <w:top w:val="nil"/>
              <w:left w:val="nil"/>
              <w:bottom w:val="single" w:sz="4" w:space="0" w:color="auto"/>
            </w:tcBorders>
            <w:shd w:val="clear" w:color="auto" w:fill="auto"/>
            <w:noWrap/>
            <w:vAlign w:val="bottom"/>
            <w:hideMark/>
          </w:tcPr>
          <w:p w14:paraId="1D9E4DFE"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 </w:t>
            </w:r>
          </w:p>
        </w:tc>
        <w:tc>
          <w:tcPr>
            <w:tcW w:w="1180" w:type="dxa"/>
            <w:tcBorders>
              <w:top w:val="nil"/>
              <w:bottom w:val="single" w:sz="4" w:space="0" w:color="auto"/>
              <w:right w:val="nil"/>
            </w:tcBorders>
            <w:shd w:val="clear" w:color="auto" w:fill="auto"/>
            <w:noWrap/>
            <w:vAlign w:val="bottom"/>
            <w:hideMark/>
          </w:tcPr>
          <w:p w14:paraId="5D22C9EF"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Adjusted</w:t>
            </w:r>
          </w:p>
        </w:tc>
        <w:tc>
          <w:tcPr>
            <w:tcW w:w="1180" w:type="dxa"/>
            <w:tcBorders>
              <w:top w:val="nil"/>
              <w:left w:val="nil"/>
              <w:bottom w:val="single" w:sz="4" w:space="0" w:color="auto"/>
            </w:tcBorders>
            <w:shd w:val="clear" w:color="auto" w:fill="auto"/>
            <w:noWrap/>
            <w:vAlign w:val="bottom"/>
            <w:hideMark/>
          </w:tcPr>
          <w:p w14:paraId="1AA9CCAA"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Adjusted</w:t>
            </w:r>
          </w:p>
        </w:tc>
        <w:tc>
          <w:tcPr>
            <w:tcW w:w="1180" w:type="dxa"/>
            <w:tcBorders>
              <w:top w:val="nil"/>
              <w:bottom w:val="single" w:sz="4" w:space="0" w:color="auto"/>
              <w:right w:val="nil"/>
            </w:tcBorders>
            <w:shd w:val="clear" w:color="auto" w:fill="auto"/>
            <w:noWrap/>
            <w:vAlign w:val="bottom"/>
            <w:hideMark/>
          </w:tcPr>
          <w:p w14:paraId="7F1D4C61"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Adjusted</w:t>
            </w:r>
          </w:p>
        </w:tc>
        <w:tc>
          <w:tcPr>
            <w:tcW w:w="1180" w:type="dxa"/>
            <w:tcBorders>
              <w:top w:val="nil"/>
              <w:left w:val="nil"/>
              <w:bottom w:val="single" w:sz="4" w:space="0" w:color="auto"/>
            </w:tcBorders>
            <w:shd w:val="clear" w:color="auto" w:fill="auto"/>
            <w:noWrap/>
            <w:vAlign w:val="bottom"/>
            <w:hideMark/>
          </w:tcPr>
          <w:p w14:paraId="22080F0A"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Adjusted</w:t>
            </w:r>
          </w:p>
        </w:tc>
      </w:tr>
      <w:tr w:rsidR="00EB19C5" w:rsidRPr="00C1464C" w14:paraId="4E5D069D" w14:textId="77777777" w:rsidTr="00120421">
        <w:trPr>
          <w:trHeight w:val="276"/>
        </w:trPr>
        <w:tc>
          <w:tcPr>
            <w:tcW w:w="3500" w:type="dxa"/>
            <w:tcBorders>
              <w:top w:val="single" w:sz="4" w:space="0" w:color="auto"/>
              <w:left w:val="nil"/>
            </w:tcBorders>
            <w:shd w:val="clear" w:color="auto" w:fill="auto"/>
            <w:noWrap/>
            <w:vAlign w:val="bottom"/>
          </w:tcPr>
          <w:p w14:paraId="69EFB249" w14:textId="77777777" w:rsidR="00EB19C5" w:rsidRPr="005526F9" w:rsidRDefault="00EB19C5" w:rsidP="00120421">
            <w:pPr>
              <w:spacing w:after="0" w:line="240" w:lineRule="auto"/>
              <w:rPr>
                <w:rFonts w:eastAsia="Times New Roman" w:cs="Times New Roman"/>
                <w:b/>
                <w:color w:val="000000"/>
                <w:lang w:eastAsia="en-GB" w:bidi="ar-SA"/>
              </w:rPr>
            </w:pPr>
            <w:r w:rsidRPr="005526F9">
              <w:rPr>
                <w:rFonts w:eastAsia="Times New Roman" w:cs="Times New Roman"/>
                <w:b/>
                <w:color w:val="000000"/>
                <w:lang w:eastAsia="en-GB" w:bidi="ar-SA"/>
              </w:rPr>
              <w:t>Usual drinking freque</w:t>
            </w:r>
            <w:r>
              <w:rPr>
                <w:rFonts w:eastAsia="Times New Roman" w:cs="Times New Roman"/>
                <w:b/>
                <w:color w:val="000000"/>
                <w:lang w:eastAsia="en-GB" w:bidi="ar-SA"/>
              </w:rPr>
              <w:t>n</w:t>
            </w:r>
            <w:r w:rsidRPr="005526F9">
              <w:rPr>
                <w:rFonts w:eastAsia="Times New Roman" w:cs="Times New Roman"/>
                <w:b/>
                <w:color w:val="000000"/>
                <w:lang w:eastAsia="en-GB" w:bidi="ar-SA"/>
              </w:rPr>
              <w:t>cy</w:t>
            </w:r>
          </w:p>
        </w:tc>
        <w:tc>
          <w:tcPr>
            <w:tcW w:w="1180" w:type="dxa"/>
            <w:tcBorders>
              <w:top w:val="single" w:sz="4" w:space="0" w:color="auto"/>
              <w:right w:val="nil"/>
            </w:tcBorders>
            <w:shd w:val="clear" w:color="auto" w:fill="auto"/>
            <w:noWrap/>
            <w:vAlign w:val="bottom"/>
          </w:tcPr>
          <w:p w14:paraId="2B97922E" w14:textId="77777777" w:rsidR="00EB19C5" w:rsidRPr="00C1464C" w:rsidRDefault="00EB19C5" w:rsidP="00120421">
            <w:pPr>
              <w:spacing w:after="0" w:line="240" w:lineRule="auto"/>
              <w:rPr>
                <w:rFonts w:eastAsia="Times New Roman" w:cs="Times New Roman"/>
                <w:color w:val="000000"/>
                <w:lang w:eastAsia="en-GB" w:bidi="ar-SA"/>
              </w:rPr>
            </w:pPr>
          </w:p>
        </w:tc>
        <w:tc>
          <w:tcPr>
            <w:tcW w:w="1180" w:type="dxa"/>
            <w:tcBorders>
              <w:top w:val="single" w:sz="4" w:space="0" w:color="auto"/>
              <w:left w:val="nil"/>
            </w:tcBorders>
            <w:shd w:val="clear" w:color="auto" w:fill="auto"/>
            <w:noWrap/>
            <w:vAlign w:val="bottom"/>
          </w:tcPr>
          <w:p w14:paraId="70CFCB9F" w14:textId="77777777" w:rsidR="00EB19C5" w:rsidRPr="00C1464C" w:rsidRDefault="00EB19C5" w:rsidP="00120421">
            <w:pPr>
              <w:spacing w:after="0" w:line="240" w:lineRule="auto"/>
              <w:rPr>
                <w:rFonts w:eastAsia="Times New Roman" w:cs="Times New Roman"/>
                <w:color w:val="000000"/>
                <w:lang w:eastAsia="en-GB" w:bidi="ar-SA"/>
              </w:rPr>
            </w:pPr>
          </w:p>
        </w:tc>
        <w:tc>
          <w:tcPr>
            <w:tcW w:w="1180" w:type="dxa"/>
            <w:tcBorders>
              <w:top w:val="single" w:sz="4" w:space="0" w:color="auto"/>
              <w:right w:val="nil"/>
            </w:tcBorders>
            <w:shd w:val="clear" w:color="auto" w:fill="auto"/>
            <w:noWrap/>
            <w:vAlign w:val="bottom"/>
          </w:tcPr>
          <w:p w14:paraId="6EC37597" w14:textId="77777777" w:rsidR="00EB19C5" w:rsidRPr="00C1464C" w:rsidRDefault="00EB19C5" w:rsidP="00120421">
            <w:pPr>
              <w:spacing w:after="0" w:line="240" w:lineRule="auto"/>
              <w:rPr>
                <w:rFonts w:eastAsia="Times New Roman" w:cs="Times New Roman"/>
                <w:color w:val="000000"/>
                <w:lang w:eastAsia="en-GB" w:bidi="ar-SA"/>
              </w:rPr>
            </w:pPr>
          </w:p>
        </w:tc>
        <w:tc>
          <w:tcPr>
            <w:tcW w:w="1180" w:type="dxa"/>
            <w:tcBorders>
              <w:top w:val="single" w:sz="4" w:space="0" w:color="auto"/>
              <w:left w:val="nil"/>
            </w:tcBorders>
            <w:shd w:val="clear" w:color="auto" w:fill="auto"/>
            <w:noWrap/>
            <w:vAlign w:val="bottom"/>
          </w:tcPr>
          <w:p w14:paraId="5B83122C" w14:textId="77777777" w:rsidR="00EB19C5" w:rsidRPr="00C1464C" w:rsidRDefault="00EB19C5" w:rsidP="00120421">
            <w:pPr>
              <w:spacing w:after="0" w:line="240" w:lineRule="auto"/>
              <w:rPr>
                <w:rFonts w:eastAsia="Times New Roman" w:cs="Times New Roman"/>
                <w:color w:val="000000"/>
                <w:lang w:eastAsia="en-GB" w:bidi="ar-SA"/>
              </w:rPr>
            </w:pPr>
          </w:p>
        </w:tc>
      </w:tr>
      <w:tr w:rsidR="00EB19C5" w:rsidRPr="00C1464C" w14:paraId="13CE2619" w14:textId="77777777" w:rsidTr="00120421">
        <w:trPr>
          <w:trHeight w:val="276"/>
        </w:trPr>
        <w:tc>
          <w:tcPr>
            <w:tcW w:w="3500" w:type="dxa"/>
            <w:tcBorders>
              <w:left w:val="nil"/>
              <w:bottom w:val="nil"/>
            </w:tcBorders>
            <w:shd w:val="clear" w:color="auto" w:fill="auto"/>
            <w:noWrap/>
            <w:vAlign w:val="bottom"/>
            <w:hideMark/>
          </w:tcPr>
          <w:p w14:paraId="61D38CB3"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Never nowadays (ref group)</w:t>
            </w:r>
          </w:p>
        </w:tc>
        <w:tc>
          <w:tcPr>
            <w:tcW w:w="1180" w:type="dxa"/>
            <w:tcBorders>
              <w:bottom w:val="nil"/>
              <w:right w:val="nil"/>
            </w:tcBorders>
            <w:shd w:val="clear" w:color="auto" w:fill="auto"/>
            <w:noWrap/>
            <w:vAlign w:val="bottom"/>
            <w:hideMark/>
          </w:tcPr>
          <w:p w14:paraId="0BC99CCD"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(ref)</w:t>
            </w:r>
          </w:p>
        </w:tc>
        <w:tc>
          <w:tcPr>
            <w:tcW w:w="1180" w:type="dxa"/>
            <w:tcBorders>
              <w:left w:val="nil"/>
              <w:bottom w:val="nil"/>
            </w:tcBorders>
            <w:shd w:val="clear" w:color="auto" w:fill="auto"/>
            <w:noWrap/>
            <w:vAlign w:val="bottom"/>
            <w:hideMark/>
          </w:tcPr>
          <w:p w14:paraId="50911BEB"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(ref)</w:t>
            </w:r>
          </w:p>
        </w:tc>
        <w:tc>
          <w:tcPr>
            <w:tcW w:w="1180" w:type="dxa"/>
            <w:tcBorders>
              <w:bottom w:val="nil"/>
              <w:right w:val="nil"/>
            </w:tcBorders>
            <w:shd w:val="clear" w:color="auto" w:fill="auto"/>
            <w:noWrap/>
            <w:vAlign w:val="bottom"/>
            <w:hideMark/>
          </w:tcPr>
          <w:p w14:paraId="69E8F018" w14:textId="77777777" w:rsidR="00EB19C5" w:rsidRPr="00C1464C" w:rsidRDefault="00EB19C5" w:rsidP="00120421">
            <w:pPr>
              <w:spacing w:after="0" w:line="240" w:lineRule="auto"/>
              <w:rPr>
                <w:rFonts w:eastAsia="Times New Roman" w:cs="Times New Roman"/>
                <w:color w:val="000000"/>
                <w:lang w:eastAsia="en-GB" w:bidi="ar-SA"/>
              </w:rPr>
            </w:pPr>
          </w:p>
        </w:tc>
        <w:tc>
          <w:tcPr>
            <w:tcW w:w="1180" w:type="dxa"/>
            <w:tcBorders>
              <w:left w:val="nil"/>
              <w:bottom w:val="nil"/>
            </w:tcBorders>
            <w:shd w:val="clear" w:color="auto" w:fill="auto"/>
            <w:noWrap/>
            <w:vAlign w:val="bottom"/>
            <w:hideMark/>
          </w:tcPr>
          <w:p w14:paraId="284FADE0"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 </w:t>
            </w:r>
          </w:p>
        </w:tc>
      </w:tr>
      <w:tr w:rsidR="00EB19C5" w:rsidRPr="00C1464C" w14:paraId="30648366" w14:textId="77777777" w:rsidTr="00120421">
        <w:trPr>
          <w:trHeight w:val="276"/>
        </w:trPr>
        <w:tc>
          <w:tcPr>
            <w:tcW w:w="3500" w:type="dxa"/>
            <w:tcBorders>
              <w:top w:val="nil"/>
              <w:left w:val="nil"/>
              <w:bottom w:val="nil"/>
            </w:tcBorders>
            <w:shd w:val="clear" w:color="auto" w:fill="auto"/>
            <w:noWrap/>
            <w:vAlign w:val="bottom"/>
            <w:hideMark/>
          </w:tcPr>
          <w:p w14:paraId="669837A4"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Monthly or less</w:t>
            </w:r>
          </w:p>
        </w:tc>
        <w:tc>
          <w:tcPr>
            <w:tcW w:w="1180" w:type="dxa"/>
            <w:tcBorders>
              <w:top w:val="nil"/>
              <w:bottom w:val="nil"/>
              <w:right w:val="nil"/>
            </w:tcBorders>
            <w:shd w:val="clear" w:color="auto" w:fill="auto"/>
            <w:noWrap/>
            <w:vAlign w:val="bottom"/>
            <w:hideMark/>
          </w:tcPr>
          <w:p w14:paraId="789B6F02"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0.10</w:t>
            </w:r>
          </w:p>
        </w:tc>
        <w:tc>
          <w:tcPr>
            <w:tcW w:w="1180" w:type="dxa"/>
            <w:tcBorders>
              <w:top w:val="nil"/>
              <w:left w:val="nil"/>
              <w:bottom w:val="nil"/>
            </w:tcBorders>
            <w:shd w:val="clear" w:color="auto" w:fill="auto"/>
            <w:noWrap/>
            <w:vAlign w:val="bottom"/>
            <w:hideMark/>
          </w:tcPr>
          <w:p w14:paraId="7DFE9729"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-0.04</w:t>
            </w:r>
          </w:p>
        </w:tc>
        <w:tc>
          <w:tcPr>
            <w:tcW w:w="1180" w:type="dxa"/>
            <w:tcBorders>
              <w:top w:val="nil"/>
              <w:bottom w:val="nil"/>
              <w:right w:val="nil"/>
            </w:tcBorders>
            <w:shd w:val="clear" w:color="auto" w:fill="auto"/>
            <w:noWrap/>
            <w:vAlign w:val="bottom"/>
            <w:hideMark/>
          </w:tcPr>
          <w:p w14:paraId="2AF9EE44" w14:textId="77777777" w:rsidR="00EB19C5" w:rsidRPr="00C1464C" w:rsidRDefault="00EB19C5" w:rsidP="00120421">
            <w:pPr>
              <w:spacing w:after="0" w:line="240" w:lineRule="auto"/>
              <w:rPr>
                <w:rFonts w:eastAsia="Times New Roman" w:cs="Times New Roman"/>
                <w:color w:val="000000"/>
                <w:lang w:eastAsia="en-GB" w:bidi="ar-SA"/>
              </w:rPr>
            </w:pPr>
          </w:p>
        </w:tc>
        <w:tc>
          <w:tcPr>
            <w:tcW w:w="1180" w:type="dxa"/>
            <w:tcBorders>
              <w:top w:val="nil"/>
              <w:left w:val="nil"/>
              <w:bottom w:val="nil"/>
            </w:tcBorders>
            <w:shd w:val="clear" w:color="auto" w:fill="auto"/>
            <w:noWrap/>
            <w:vAlign w:val="bottom"/>
            <w:hideMark/>
          </w:tcPr>
          <w:p w14:paraId="51366F9C"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 </w:t>
            </w:r>
          </w:p>
        </w:tc>
      </w:tr>
      <w:tr w:rsidR="00EB19C5" w:rsidRPr="00C1464C" w14:paraId="19BCF531" w14:textId="77777777" w:rsidTr="00120421">
        <w:trPr>
          <w:trHeight w:val="276"/>
        </w:trPr>
        <w:tc>
          <w:tcPr>
            <w:tcW w:w="3500" w:type="dxa"/>
            <w:tcBorders>
              <w:top w:val="nil"/>
              <w:left w:val="nil"/>
              <w:bottom w:val="nil"/>
            </w:tcBorders>
            <w:shd w:val="clear" w:color="auto" w:fill="auto"/>
            <w:noWrap/>
            <w:vAlign w:val="bottom"/>
            <w:hideMark/>
          </w:tcPr>
          <w:p w14:paraId="1B119DB9"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Several times a month</w:t>
            </w:r>
          </w:p>
        </w:tc>
        <w:tc>
          <w:tcPr>
            <w:tcW w:w="1180" w:type="dxa"/>
            <w:tcBorders>
              <w:top w:val="nil"/>
              <w:bottom w:val="nil"/>
              <w:right w:val="nil"/>
            </w:tcBorders>
            <w:shd w:val="clear" w:color="auto" w:fill="auto"/>
            <w:noWrap/>
            <w:vAlign w:val="bottom"/>
            <w:hideMark/>
          </w:tcPr>
          <w:p w14:paraId="0DDC887E"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0.23</w:t>
            </w:r>
            <w:r>
              <w:rPr>
                <w:rFonts w:eastAsia="Times New Roman" w:cs="Times New Roman"/>
                <w:color w:val="000000"/>
                <w:lang w:eastAsia="en-GB" w:bidi="ar-SA"/>
              </w:rPr>
              <w:t>**</w:t>
            </w:r>
          </w:p>
        </w:tc>
        <w:tc>
          <w:tcPr>
            <w:tcW w:w="1180" w:type="dxa"/>
            <w:tcBorders>
              <w:top w:val="nil"/>
              <w:left w:val="nil"/>
              <w:bottom w:val="nil"/>
            </w:tcBorders>
            <w:shd w:val="clear" w:color="auto" w:fill="auto"/>
            <w:noWrap/>
            <w:vAlign w:val="bottom"/>
            <w:hideMark/>
          </w:tcPr>
          <w:p w14:paraId="606D0BC9"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0.04</w:t>
            </w:r>
          </w:p>
        </w:tc>
        <w:tc>
          <w:tcPr>
            <w:tcW w:w="1180" w:type="dxa"/>
            <w:tcBorders>
              <w:top w:val="nil"/>
              <w:bottom w:val="nil"/>
              <w:right w:val="nil"/>
            </w:tcBorders>
            <w:shd w:val="clear" w:color="auto" w:fill="auto"/>
            <w:noWrap/>
            <w:vAlign w:val="bottom"/>
            <w:hideMark/>
          </w:tcPr>
          <w:p w14:paraId="5269F8D5" w14:textId="77777777" w:rsidR="00EB19C5" w:rsidRPr="00C1464C" w:rsidRDefault="00EB19C5" w:rsidP="00120421">
            <w:pPr>
              <w:spacing w:after="0" w:line="240" w:lineRule="auto"/>
              <w:rPr>
                <w:rFonts w:eastAsia="Times New Roman" w:cs="Times New Roman"/>
                <w:color w:val="000000"/>
                <w:lang w:eastAsia="en-GB" w:bidi="ar-SA"/>
              </w:rPr>
            </w:pPr>
          </w:p>
        </w:tc>
        <w:tc>
          <w:tcPr>
            <w:tcW w:w="1180" w:type="dxa"/>
            <w:tcBorders>
              <w:top w:val="nil"/>
              <w:left w:val="nil"/>
              <w:bottom w:val="nil"/>
            </w:tcBorders>
            <w:shd w:val="clear" w:color="auto" w:fill="auto"/>
            <w:noWrap/>
            <w:vAlign w:val="bottom"/>
            <w:hideMark/>
          </w:tcPr>
          <w:p w14:paraId="467BE2EA"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 </w:t>
            </w:r>
          </w:p>
        </w:tc>
      </w:tr>
      <w:tr w:rsidR="00EB19C5" w:rsidRPr="00C1464C" w14:paraId="201D1A4D" w14:textId="77777777" w:rsidTr="00120421">
        <w:trPr>
          <w:trHeight w:val="276"/>
        </w:trPr>
        <w:tc>
          <w:tcPr>
            <w:tcW w:w="3500" w:type="dxa"/>
            <w:tcBorders>
              <w:top w:val="nil"/>
              <w:left w:val="nil"/>
              <w:bottom w:val="nil"/>
            </w:tcBorders>
            <w:shd w:val="clear" w:color="auto" w:fill="auto"/>
            <w:noWrap/>
            <w:vAlign w:val="bottom"/>
            <w:hideMark/>
          </w:tcPr>
          <w:p w14:paraId="0117058A"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2-3 times/</w:t>
            </w:r>
            <w:proofErr w:type="spellStart"/>
            <w:r w:rsidRPr="00C1464C">
              <w:rPr>
                <w:rFonts w:eastAsia="Times New Roman" w:cs="Times New Roman"/>
                <w:color w:val="000000"/>
                <w:lang w:eastAsia="en-GB" w:bidi="ar-SA"/>
              </w:rPr>
              <w:t>wk</w:t>
            </w:r>
            <w:proofErr w:type="spellEnd"/>
          </w:p>
        </w:tc>
        <w:tc>
          <w:tcPr>
            <w:tcW w:w="1180" w:type="dxa"/>
            <w:tcBorders>
              <w:top w:val="nil"/>
              <w:bottom w:val="nil"/>
              <w:right w:val="nil"/>
            </w:tcBorders>
            <w:shd w:val="clear" w:color="auto" w:fill="auto"/>
            <w:noWrap/>
            <w:vAlign w:val="bottom"/>
            <w:hideMark/>
          </w:tcPr>
          <w:p w14:paraId="6B3C1D1A"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0.27</w:t>
            </w:r>
            <w:r>
              <w:rPr>
                <w:rFonts w:eastAsia="Times New Roman" w:cs="Times New Roman"/>
                <w:color w:val="000000"/>
                <w:lang w:eastAsia="en-GB" w:bidi="ar-SA"/>
              </w:rPr>
              <w:t>**</w:t>
            </w:r>
          </w:p>
        </w:tc>
        <w:tc>
          <w:tcPr>
            <w:tcW w:w="1180" w:type="dxa"/>
            <w:tcBorders>
              <w:top w:val="nil"/>
              <w:left w:val="nil"/>
              <w:bottom w:val="nil"/>
            </w:tcBorders>
            <w:shd w:val="clear" w:color="auto" w:fill="auto"/>
            <w:noWrap/>
            <w:vAlign w:val="bottom"/>
            <w:hideMark/>
          </w:tcPr>
          <w:p w14:paraId="7C356175"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0.05</w:t>
            </w:r>
          </w:p>
        </w:tc>
        <w:tc>
          <w:tcPr>
            <w:tcW w:w="1180" w:type="dxa"/>
            <w:tcBorders>
              <w:top w:val="nil"/>
              <w:bottom w:val="nil"/>
              <w:right w:val="nil"/>
            </w:tcBorders>
            <w:shd w:val="clear" w:color="auto" w:fill="auto"/>
            <w:noWrap/>
            <w:vAlign w:val="bottom"/>
            <w:hideMark/>
          </w:tcPr>
          <w:p w14:paraId="26E8CA34" w14:textId="77777777" w:rsidR="00EB19C5" w:rsidRPr="00C1464C" w:rsidRDefault="00EB19C5" w:rsidP="00120421">
            <w:pPr>
              <w:spacing w:after="0" w:line="240" w:lineRule="auto"/>
              <w:rPr>
                <w:rFonts w:eastAsia="Times New Roman" w:cs="Times New Roman"/>
                <w:color w:val="000000"/>
                <w:lang w:eastAsia="en-GB" w:bidi="ar-SA"/>
              </w:rPr>
            </w:pPr>
          </w:p>
        </w:tc>
        <w:tc>
          <w:tcPr>
            <w:tcW w:w="1180" w:type="dxa"/>
            <w:tcBorders>
              <w:top w:val="nil"/>
              <w:left w:val="nil"/>
              <w:bottom w:val="nil"/>
            </w:tcBorders>
            <w:shd w:val="clear" w:color="auto" w:fill="auto"/>
            <w:noWrap/>
            <w:vAlign w:val="bottom"/>
            <w:hideMark/>
          </w:tcPr>
          <w:p w14:paraId="4BA1FABE"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 </w:t>
            </w:r>
          </w:p>
        </w:tc>
      </w:tr>
      <w:tr w:rsidR="00EB19C5" w:rsidRPr="00C1464C" w14:paraId="75025C0C" w14:textId="77777777" w:rsidTr="00120421">
        <w:trPr>
          <w:trHeight w:val="276"/>
        </w:trPr>
        <w:tc>
          <w:tcPr>
            <w:tcW w:w="3500" w:type="dxa"/>
            <w:tcBorders>
              <w:top w:val="nil"/>
              <w:left w:val="nil"/>
              <w:bottom w:val="nil"/>
            </w:tcBorders>
            <w:shd w:val="clear" w:color="auto" w:fill="auto"/>
            <w:noWrap/>
            <w:vAlign w:val="bottom"/>
            <w:hideMark/>
          </w:tcPr>
          <w:p w14:paraId="1786B632"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Most days</w:t>
            </w:r>
          </w:p>
        </w:tc>
        <w:tc>
          <w:tcPr>
            <w:tcW w:w="1180" w:type="dxa"/>
            <w:tcBorders>
              <w:top w:val="nil"/>
              <w:bottom w:val="nil"/>
              <w:right w:val="nil"/>
            </w:tcBorders>
            <w:shd w:val="clear" w:color="auto" w:fill="auto"/>
            <w:noWrap/>
            <w:vAlign w:val="bottom"/>
            <w:hideMark/>
          </w:tcPr>
          <w:p w14:paraId="260854D0"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0.30</w:t>
            </w:r>
            <w:r>
              <w:rPr>
                <w:rFonts w:eastAsia="Times New Roman" w:cs="Times New Roman"/>
                <w:color w:val="000000"/>
                <w:lang w:eastAsia="en-GB" w:bidi="ar-SA"/>
              </w:rPr>
              <w:t>**</w:t>
            </w:r>
          </w:p>
        </w:tc>
        <w:tc>
          <w:tcPr>
            <w:tcW w:w="1180" w:type="dxa"/>
            <w:tcBorders>
              <w:top w:val="nil"/>
              <w:left w:val="nil"/>
              <w:bottom w:val="nil"/>
            </w:tcBorders>
            <w:shd w:val="clear" w:color="auto" w:fill="auto"/>
            <w:noWrap/>
            <w:vAlign w:val="bottom"/>
            <w:hideMark/>
          </w:tcPr>
          <w:p w14:paraId="28AA6F54"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0.00</w:t>
            </w:r>
          </w:p>
        </w:tc>
        <w:tc>
          <w:tcPr>
            <w:tcW w:w="1180" w:type="dxa"/>
            <w:tcBorders>
              <w:top w:val="nil"/>
              <w:bottom w:val="nil"/>
              <w:right w:val="nil"/>
            </w:tcBorders>
            <w:shd w:val="clear" w:color="auto" w:fill="auto"/>
            <w:noWrap/>
            <w:vAlign w:val="bottom"/>
            <w:hideMark/>
          </w:tcPr>
          <w:p w14:paraId="2D7DB319" w14:textId="77777777" w:rsidR="00EB19C5" w:rsidRPr="00C1464C" w:rsidRDefault="00EB19C5" w:rsidP="00120421">
            <w:pPr>
              <w:spacing w:after="0" w:line="240" w:lineRule="auto"/>
              <w:rPr>
                <w:rFonts w:eastAsia="Times New Roman" w:cs="Times New Roman"/>
                <w:color w:val="000000"/>
                <w:lang w:eastAsia="en-GB" w:bidi="ar-SA"/>
              </w:rPr>
            </w:pPr>
          </w:p>
        </w:tc>
        <w:tc>
          <w:tcPr>
            <w:tcW w:w="1180" w:type="dxa"/>
            <w:tcBorders>
              <w:top w:val="nil"/>
              <w:left w:val="nil"/>
              <w:bottom w:val="nil"/>
            </w:tcBorders>
            <w:shd w:val="clear" w:color="auto" w:fill="auto"/>
            <w:noWrap/>
            <w:vAlign w:val="bottom"/>
            <w:hideMark/>
          </w:tcPr>
          <w:p w14:paraId="4A4C87CB"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 </w:t>
            </w:r>
          </w:p>
        </w:tc>
      </w:tr>
      <w:tr w:rsidR="00EB19C5" w:rsidRPr="00C1464C" w14:paraId="79C8C618" w14:textId="77777777" w:rsidTr="00120421">
        <w:trPr>
          <w:trHeight w:val="276"/>
        </w:trPr>
        <w:tc>
          <w:tcPr>
            <w:tcW w:w="3500" w:type="dxa"/>
            <w:tcBorders>
              <w:top w:val="nil"/>
              <w:left w:val="nil"/>
              <w:bottom w:val="single" w:sz="4" w:space="0" w:color="auto"/>
            </w:tcBorders>
            <w:shd w:val="clear" w:color="auto" w:fill="auto"/>
            <w:noWrap/>
            <w:vAlign w:val="bottom"/>
            <w:hideMark/>
          </w:tcPr>
          <w:p w14:paraId="76922860" w14:textId="77777777" w:rsidR="00EB19C5" w:rsidRPr="00C1464C" w:rsidRDefault="00EB19C5" w:rsidP="00120421">
            <w:pPr>
              <w:spacing w:after="0" w:line="240" w:lineRule="auto"/>
              <w:jc w:val="right"/>
              <w:rPr>
                <w:rFonts w:eastAsia="Times New Roman" w:cs="Times New Roman"/>
                <w:i/>
                <w:iCs/>
                <w:color w:val="000000"/>
                <w:lang w:eastAsia="en-GB" w:bidi="ar-SA"/>
              </w:rPr>
            </w:pPr>
            <w:r w:rsidRPr="00C1464C">
              <w:rPr>
                <w:rFonts w:eastAsia="Times New Roman" w:cs="Times New Roman"/>
                <w:i/>
                <w:iCs/>
                <w:color w:val="000000"/>
                <w:lang w:eastAsia="en-GB" w:bidi="ar-SA"/>
              </w:rPr>
              <w:t xml:space="preserve">Joint </w:t>
            </w:r>
            <w:r>
              <w:rPr>
                <w:rFonts w:eastAsia="Times New Roman" w:cs="Times New Roman"/>
                <w:i/>
                <w:iCs/>
                <w:color w:val="000000"/>
                <w:lang w:eastAsia="en-GB" w:bidi="ar-SA"/>
              </w:rPr>
              <w:t>significance</w:t>
            </w:r>
            <w:r w:rsidRPr="00C1464C">
              <w:rPr>
                <w:rFonts w:eastAsia="Times New Roman" w:cs="Times New Roman"/>
                <w:i/>
                <w:iCs/>
                <w:color w:val="000000"/>
                <w:lang w:eastAsia="en-GB" w:bidi="ar-SA"/>
              </w:rPr>
              <w:t xml:space="preserve"> of terms</w:t>
            </w:r>
          </w:p>
        </w:tc>
        <w:tc>
          <w:tcPr>
            <w:tcW w:w="1180" w:type="dxa"/>
            <w:tcBorders>
              <w:top w:val="nil"/>
              <w:bottom w:val="single" w:sz="4" w:space="0" w:color="auto"/>
              <w:right w:val="nil"/>
            </w:tcBorders>
            <w:shd w:val="clear" w:color="auto" w:fill="auto"/>
            <w:noWrap/>
            <w:vAlign w:val="bottom"/>
            <w:hideMark/>
          </w:tcPr>
          <w:p w14:paraId="6023D9FE" w14:textId="77777777" w:rsidR="00EB19C5" w:rsidRPr="00C1464C" w:rsidRDefault="00EB19C5" w:rsidP="00120421">
            <w:pPr>
              <w:spacing w:after="0" w:line="240" w:lineRule="auto"/>
              <w:jc w:val="right"/>
              <w:rPr>
                <w:rFonts w:eastAsia="Times New Roman" w:cs="Times New Roman"/>
                <w:i/>
                <w:iCs/>
                <w:color w:val="000000"/>
                <w:lang w:eastAsia="en-GB" w:bidi="ar-SA"/>
              </w:rPr>
            </w:pPr>
            <w:r>
              <w:rPr>
                <w:rFonts w:eastAsia="Times New Roman" w:cs="Times New Roman"/>
                <w:i/>
                <w:iCs/>
                <w:color w:val="000000"/>
                <w:lang w:eastAsia="en-GB" w:bidi="ar-SA"/>
              </w:rPr>
              <w:t>**</w:t>
            </w:r>
          </w:p>
        </w:tc>
        <w:tc>
          <w:tcPr>
            <w:tcW w:w="1180" w:type="dxa"/>
            <w:tcBorders>
              <w:top w:val="nil"/>
              <w:left w:val="nil"/>
              <w:bottom w:val="single" w:sz="4" w:space="0" w:color="auto"/>
            </w:tcBorders>
            <w:shd w:val="clear" w:color="auto" w:fill="auto"/>
            <w:noWrap/>
            <w:vAlign w:val="bottom"/>
            <w:hideMark/>
          </w:tcPr>
          <w:p w14:paraId="5A6ECD7F" w14:textId="77777777" w:rsidR="00EB19C5" w:rsidRPr="00C1464C" w:rsidRDefault="00EB19C5" w:rsidP="00120421">
            <w:pPr>
              <w:spacing w:after="0" w:line="240" w:lineRule="auto"/>
              <w:jc w:val="right"/>
              <w:rPr>
                <w:rFonts w:eastAsia="Times New Roman" w:cs="Times New Roman"/>
                <w:i/>
                <w:iCs/>
                <w:color w:val="000000"/>
                <w:lang w:eastAsia="en-GB" w:bidi="ar-SA"/>
              </w:rPr>
            </w:pPr>
            <w:r>
              <w:rPr>
                <w:rFonts w:eastAsia="Times New Roman" w:cs="Times New Roman"/>
                <w:i/>
                <w:iCs/>
                <w:color w:val="000000"/>
                <w:lang w:eastAsia="en-GB" w:bidi="ar-SA"/>
              </w:rPr>
              <w:t>ns</w:t>
            </w:r>
          </w:p>
        </w:tc>
        <w:tc>
          <w:tcPr>
            <w:tcW w:w="1180" w:type="dxa"/>
            <w:tcBorders>
              <w:top w:val="nil"/>
              <w:bottom w:val="single" w:sz="4" w:space="0" w:color="auto"/>
              <w:right w:val="nil"/>
            </w:tcBorders>
            <w:shd w:val="clear" w:color="auto" w:fill="auto"/>
            <w:noWrap/>
            <w:vAlign w:val="bottom"/>
            <w:hideMark/>
          </w:tcPr>
          <w:p w14:paraId="67CE7460" w14:textId="77777777" w:rsidR="00EB19C5" w:rsidRPr="00C1464C" w:rsidRDefault="00EB19C5" w:rsidP="00120421">
            <w:pPr>
              <w:spacing w:after="0" w:line="240" w:lineRule="auto"/>
              <w:rPr>
                <w:rFonts w:eastAsia="Times New Roman" w:cs="Times New Roman"/>
                <w:i/>
                <w:iCs/>
                <w:color w:val="000000"/>
                <w:lang w:eastAsia="en-GB" w:bidi="ar-SA"/>
              </w:rPr>
            </w:pPr>
            <w:r w:rsidRPr="00C1464C">
              <w:rPr>
                <w:rFonts w:eastAsia="Times New Roman" w:cs="Times New Roman"/>
                <w:i/>
                <w:iCs/>
                <w:color w:val="000000"/>
                <w:lang w:eastAsia="en-GB" w:bidi="ar-SA"/>
              </w:rPr>
              <w:t> </w:t>
            </w:r>
          </w:p>
        </w:tc>
        <w:tc>
          <w:tcPr>
            <w:tcW w:w="1180" w:type="dxa"/>
            <w:tcBorders>
              <w:top w:val="nil"/>
              <w:left w:val="nil"/>
              <w:bottom w:val="single" w:sz="4" w:space="0" w:color="auto"/>
            </w:tcBorders>
            <w:shd w:val="clear" w:color="auto" w:fill="auto"/>
            <w:noWrap/>
            <w:vAlign w:val="bottom"/>
            <w:hideMark/>
          </w:tcPr>
          <w:p w14:paraId="76536EA6" w14:textId="77777777" w:rsidR="00EB19C5" w:rsidRPr="00C1464C" w:rsidRDefault="00EB19C5" w:rsidP="00120421">
            <w:pPr>
              <w:spacing w:after="0" w:line="240" w:lineRule="auto"/>
              <w:rPr>
                <w:rFonts w:eastAsia="Times New Roman" w:cs="Times New Roman"/>
                <w:i/>
                <w:iCs/>
                <w:color w:val="000000"/>
                <w:lang w:eastAsia="en-GB" w:bidi="ar-SA"/>
              </w:rPr>
            </w:pPr>
            <w:r w:rsidRPr="00C1464C">
              <w:rPr>
                <w:rFonts w:eastAsia="Times New Roman" w:cs="Times New Roman"/>
                <w:i/>
                <w:iCs/>
                <w:color w:val="000000"/>
                <w:lang w:eastAsia="en-GB" w:bidi="ar-SA"/>
              </w:rPr>
              <w:t> </w:t>
            </w:r>
          </w:p>
        </w:tc>
      </w:tr>
      <w:tr w:rsidR="00EB19C5" w:rsidRPr="00C1464C" w14:paraId="0424107D" w14:textId="77777777" w:rsidTr="00120421">
        <w:trPr>
          <w:trHeight w:val="288"/>
        </w:trPr>
        <w:tc>
          <w:tcPr>
            <w:tcW w:w="3500" w:type="dxa"/>
            <w:tcBorders>
              <w:top w:val="nil"/>
              <w:left w:val="nil"/>
              <w:bottom w:val="single" w:sz="4" w:space="0" w:color="auto"/>
            </w:tcBorders>
            <w:shd w:val="clear" w:color="auto" w:fill="auto"/>
            <w:noWrap/>
            <w:vAlign w:val="bottom"/>
            <w:hideMark/>
          </w:tcPr>
          <w:p w14:paraId="26648739"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Alcohol problems (CAGE)</w:t>
            </w:r>
          </w:p>
        </w:tc>
        <w:tc>
          <w:tcPr>
            <w:tcW w:w="1180" w:type="dxa"/>
            <w:tcBorders>
              <w:top w:val="nil"/>
              <w:bottom w:val="single" w:sz="4" w:space="0" w:color="auto"/>
              <w:right w:val="nil"/>
            </w:tcBorders>
            <w:shd w:val="clear" w:color="auto" w:fill="auto"/>
            <w:noWrap/>
            <w:vAlign w:val="bottom"/>
            <w:hideMark/>
          </w:tcPr>
          <w:p w14:paraId="79A45CF6"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 </w:t>
            </w:r>
          </w:p>
        </w:tc>
        <w:tc>
          <w:tcPr>
            <w:tcW w:w="1180" w:type="dxa"/>
            <w:tcBorders>
              <w:top w:val="nil"/>
              <w:left w:val="nil"/>
              <w:bottom w:val="single" w:sz="4" w:space="0" w:color="auto"/>
            </w:tcBorders>
            <w:shd w:val="clear" w:color="auto" w:fill="auto"/>
            <w:noWrap/>
            <w:vAlign w:val="bottom"/>
            <w:hideMark/>
          </w:tcPr>
          <w:p w14:paraId="318F3F9B" w14:textId="77777777" w:rsidR="00EB19C5" w:rsidRPr="00C1464C" w:rsidRDefault="00EB19C5" w:rsidP="00120421">
            <w:pPr>
              <w:spacing w:after="0" w:line="240" w:lineRule="auto"/>
              <w:rPr>
                <w:rFonts w:eastAsia="Times New Roman" w:cs="Times New Roman"/>
                <w:color w:val="000000"/>
                <w:lang w:eastAsia="en-GB" w:bidi="ar-SA"/>
              </w:rPr>
            </w:pPr>
            <w:r w:rsidRPr="00C1464C">
              <w:rPr>
                <w:rFonts w:eastAsia="Times New Roman" w:cs="Times New Roman"/>
                <w:color w:val="000000"/>
                <w:lang w:eastAsia="en-GB" w:bidi="ar-SA"/>
              </w:rPr>
              <w:t> </w:t>
            </w:r>
          </w:p>
        </w:tc>
        <w:tc>
          <w:tcPr>
            <w:tcW w:w="1180" w:type="dxa"/>
            <w:tcBorders>
              <w:top w:val="nil"/>
              <w:bottom w:val="single" w:sz="4" w:space="0" w:color="auto"/>
              <w:right w:val="nil"/>
            </w:tcBorders>
            <w:shd w:val="clear" w:color="auto" w:fill="auto"/>
            <w:noWrap/>
            <w:vAlign w:val="bottom"/>
            <w:hideMark/>
          </w:tcPr>
          <w:p w14:paraId="5F87E8E9" w14:textId="77777777" w:rsidR="00EB19C5" w:rsidRPr="00C1464C" w:rsidRDefault="00EB19C5" w:rsidP="00120421">
            <w:pPr>
              <w:spacing w:after="0" w:line="240" w:lineRule="auto"/>
              <w:jc w:val="right"/>
              <w:rPr>
                <w:rFonts w:eastAsia="Times New Roman" w:cs="Times New Roman"/>
                <w:color w:val="000000"/>
                <w:lang w:eastAsia="en-GB" w:bidi="ar-SA"/>
              </w:rPr>
            </w:pPr>
            <w:r w:rsidRPr="00C1464C">
              <w:rPr>
                <w:rFonts w:eastAsia="Times New Roman" w:cs="Times New Roman"/>
                <w:color w:val="000000"/>
                <w:lang w:eastAsia="en-GB" w:bidi="ar-SA"/>
              </w:rPr>
              <w:t>-0.36</w:t>
            </w:r>
            <w:r>
              <w:rPr>
                <w:rFonts w:eastAsia="Times New Roman" w:cs="Times New Roman"/>
                <w:color w:val="000000"/>
                <w:lang w:eastAsia="en-GB" w:bidi="ar-SA"/>
              </w:rPr>
              <w:t>**</w:t>
            </w:r>
          </w:p>
        </w:tc>
        <w:tc>
          <w:tcPr>
            <w:tcW w:w="1180" w:type="dxa"/>
            <w:tcBorders>
              <w:top w:val="nil"/>
              <w:left w:val="nil"/>
              <w:bottom w:val="single" w:sz="4" w:space="0" w:color="auto"/>
            </w:tcBorders>
            <w:shd w:val="clear" w:color="auto" w:fill="auto"/>
            <w:noWrap/>
            <w:vAlign w:val="bottom"/>
            <w:hideMark/>
          </w:tcPr>
          <w:p w14:paraId="7BFF170C" w14:textId="77777777" w:rsidR="00EB19C5" w:rsidRPr="00C1464C" w:rsidRDefault="00EB19C5" w:rsidP="00120421">
            <w:pPr>
              <w:spacing w:after="0" w:line="240" w:lineRule="auto"/>
              <w:jc w:val="right"/>
              <w:rPr>
                <w:rFonts w:eastAsia="Times New Roman" w:cs="Times New Roman"/>
                <w:color w:val="000000"/>
                <w:lang w:eastAsia="en-GB" w:bidi="ar-SA"/>
              </w:rPr>
            </w:pPr>
            <w:r w:rsidRPr="00C1464C">
              <w:rPr>
                <w:rFonts w:eastAsia="Times New Roman" w:cs="Times New Roman"/>
                <w:color w:val="000000"/>
                <w:lang w:eastAsia="en-GB" w:bidi="ar-SA"/>
              </w:rPr>
              <w:t>-0.18</w:t>
            </w:r>
            <w:r>
              <w:rPr>
                <w:rFonts w:eastAsia="Times New Roman" w:cs="Times New Roman"/>
                <w:color w:val="000000"/>
                <w:lang w:eastAsia="en-GB" w:bidi="ar-SA"/>
              </w:rPr>
              <w:t>**</w:t>
            </w:r>
          </w:p>
        </w:tc>
      </w:tr>
      <w:tr w:rsidR="00EB19C5" w:rsidRPr="00C1464C" w14:paraId="63084267" w14:textId="77777777" w:rsidTr="00120421">
        <w:trPr>
          <w:trHeight w:val="276"/>
        </w:trPr>
        <w:tc>
          <w:tcPr>
            <w:tcW w:w="3500" w:type="dxa"/>
            <w:tcBorders>
              <w:top w:val="nil"/>
              <w:left w:val="nil"/>
              <w:bottom w:val="nil"/>
            </w:tcBorders>
            <w:shd w:val="clear" w:color="auto" w:fill="auto"/>
            <w:noWrap/>
            <w:vAlign w:val="bottom"/>
            <w:hideMark/>
          </w:tcPr>
          <w:p w14:paraId="769938E3"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n (person-waves)</w:t>
            </w:r>
          </w:p>
        </w:tc>
        <w:tc>
          <w:tcPr>
            <w:tcW w:w="1180" w:type="dxa"/>
            <w:tcBorders>
              <w:top w:val="nil"/>
              <w:bottom w:val="nil"/>
              <w:right w:val="nil"/>
            </w:tcBorders>
            <w:shd w:val="clear" w:color="auto" w:fill="auto"/>
            <w:noWrap/>
            <w:vAlign w:val="bottom"/>
            <w:hideMark/>
          </w:tcPr>
          <w:p w14:paraId="6F28667B"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25920</w:t>
            </w:r>
          </w:p>
        </w:tc>
        <w:tc>
          <w:tcPr>
            <w:tcW w:w="1180" w:type="dxa"/>
            <w:tcBorders>
              <w:top w:val="nil"/>
              <w:left w:val="nil"/>
              <w:bottom w:val="nil"/>
            </w:tcBorders>
            <w:shd w:val="clear" w:color="auto" w:fill="auto"/>
            <w:noWrap/>
            <w:vAlign w:val="bottom"/>
            <w:hideMark/>
          </w:tcPr>
          <w:p w14:paraId="7BF06CD9"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25920</w:t>
            </w:r>
          </w:p>
        </w:tc>
        <w:tc>
          <w:tcPr>
            <w:tcW w:w="1180" w:type="dxa"/>
            <w:tcBorders>
              <w:top w:val="nil"/>
              <w:bottom w:val="nil"/>
              <w:right w:val="nil"/>
            </w:tcBorders>
            <w:shd w:val="clear" w:color="auto" w:fill="auto"/>
            <w:noWrap/>
            <w:vAlign w:val="bottom"/>
            <w:hideMark/>
          </w:tcPr>
          <w:p w14:paraId="518CBDE3"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19830</w:t>
            </w:r>
          </w:p>
        </w:tc>
        <w:tc>
          <w:tcPr>
            <w:tcW w:w="1180" w:type="dxa"/>
            <w:tcBorders>
              <w:top w:val="nil"/>
              <w:left w:val="nil"/>
              <w:bottom w:val="nil"/>
            </w:tcBorders>
            <w:shd w:val="clear" w:color="auto" w:fill="auto"/>
            <w:noWrap/>
            <w:vAlign w:val="bottom"/>
            <w:hideMark/>
          </w:tcPr>
          <w:p w14:paraId="1F5D8D73" w14:textId="77777777" w:rsidR="00EB19C5" w:rsidRPr="00076FDD" w:rsidRDefault="00EB19C5" w:rsidP="00120421">
            <w:pPr>
              <w:spacing w:after="0" w:line="240" w:lineRule="auto"/>
              <w:rPr>
                <w:rFonts w:eastAsia="Times New Roman" w:cs="Times New Roman"/>
                <w:i/>
                <w:color w:val="000000"/>
                <w:lang w:eastAsia="en-GB" w:bidi="ar-SA"/>
              </w:rPr>
            </w:pPr>
            <w:r w:rsidRPr="00076FDD">
              <w:rPr>
                <w:rFonts w:eastAsia="Times New Roman" w:cs="Times New Roman"/>
                <w:i/>
                <w:color w:val="000000"/>
                <w:lang w:eastAsia="en-GB" w:bidi="ar-SA"/>
              </w:rPr>
              <w:t>19830</w:t>
            </w:r>
          </w:p>
        </w:tc>
      </w:tr>
      <w:tr w:rsidR="00EB19C5" w:rsidRPr="00C1464C" w14:paraId="7962BC7F" w14:textId="77777777" w:rsidTr="00120421">
        <w:trPr>
          <w:trHeight w:val="276"/>
        </w:trPr>
        <w:tc>
          <w:tcPr>
            <w:tcW w:w="3500" w:type="dxa"/>
            <w:tcBorders>
              <w:top w:val="nil"/>
              <w:left w:val="nil"/>
              <w:bottom w:val="nil"/>
            </w:tcBorders>
            <w:shd w:val="clear" w:color="auto" w:fill="auto"/>
            <w:noWrap/>
            <w:vAlign w:val="bottom"/>
          </w:tcPr>
          <w:p w14:paraId="4EE84A26"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n (persons)</w:t>
            </w:r>
          </w:p>
        </w:tc>
        <w:tc>
          <w:tcPr>
            <w:tcW w:w="1180" w:type="dxa"/>
            <w:tcBorders>
              <w:top w:val="nil"/>
              <w:bottom w:val="nil"/>
              <w:right w:val="nil"/>
            </w:tcBorders>
            <w:shd w:val="clear" w:color="auto" w:fill="auto"/>
            <w:noWrap/>
            <w:vAlign w:val="bottom"/>
          </w:tcPr>
          <w:p w14:paraId="407180C0"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9469</w:t>
            </w:r>
          </w:p>
        </w:tc>
        <w:tc>
          <w:tcPr>
            <w:tcW w:w="1180" w:type="dxa"/>
            <w:tcBorders>
              <w:top w:val="nil"/>
              <w:left w:val="nil"/>
              <w:bottom w:val="nil"/>
            </w:tcBorders>
            <w:shd w:val="clear" w:color="auto" w:fill="auto"/>
            <w:noWrap/>
            <w:vAlign w:val="bottom"/>
          </w:tcPr>
          <w:p w14:paraId="5D6523A2"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9469</w:t>
            </w:r>
          </w:p>
        </w:tc>
        <w:tc>
          <w:tcPr>
            <w:tcW w:w="1180" w:type="dxa"/>
            <w:tcBorders>
              <w:top w:val="nil"/>
              <w:bottom w:val="nil"/>
              <w:right w:val="nil"/>
            </w:tcBorders>
            <w:shd w:val="clear" w:color="auto" w:fill="auto"/>
            <w:noWrap/>
            <w:vAlign w:val="bottom"/>
          </w:tcPr>
          <w:p w14:paraId="0C14EE8C"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8377</w:t>
            </w:r>
          </w:p>
        </w:tc>
        <w:tc>
          <w:tcPr>
            <w:tcW w:w="1180" w:type="dxa"/>
            <w:tcBorders>
              <w:top w:val="nil"/>
              <w:left w:val="nil"/>
              <w:bottom w:val="nil"/>
            </w:tcBorders>
            <w:shd w:val="clear" w:color="auto" w:fill="auto"/>
            <w:noWrap/>
            <w:vAlign w:val="bottom"/>
          </w:tcPr>
          <w:p w14:paraId="1A102B88" w14:textId="77777777" w:rsidR="00EB19C5" w:rsidRPr="005E1F55" w:rsidRDefault="00EB19C5" w:rsidP="00120421">
            <w:pPr>
              <w:spacing w:after="0" w:line="240" w:lineRule="auto"/>
              <w:rPr>
                <w:rFonts w:eastAsia="Times New Roman" w:cs="Times New Roman"/>
                <w:i/>
                <w:color w:val="000000"/>
                <w:lang w:eastAsia="en-GB" w:bidi="ar-SA"/>
              </w:rPr>
            </w:pPr>
            <w:r w:rsidRPr="000D5565">
              <w:rPr>
                <w:i/>
                <w:color w:val="000000"/>
              </w:rPr>
              <w:t>8377</w:t>
            </w:r>
          </w:p>
        </w:tc>
      </w:tr>
    </w:tbl>
    <w:p w14:paraId="5BE647E6" w14:textId="77777777" w:rsidR="00EB19C5" w:rsidRPr="0075004A" w:rsidRDefault="00EB19C5" w:rsidP="00EB19C5">
      <w:pPr>
        <w:spacing w:before="240" w:line="240" w:lineRule="auto"/>
        <w:ind w:left="284" w:right="237"/>
        <w:rPr>
          <w:i/>
          <w:sz w:val="20"/>
        </w:rPr>
      </w:pPr>
      <w:r>
        <w:rPr>
          <w:i/>
          <w:sz w:val="20"/>
        </w:rPr>
        <w:t xml:space="preserve">Significance: **=p&lt;0.01; *=p&lt;0.05; </w:t>
      </w:r>
      <w:r w:rsidRPr="008D4CAD">
        <w:rPr>
          <w:i/>
          <w:sz w:val="20"/>
        </w:rPr>
        <w:t>+</w:t>
      </w:r>
      <w:r>
        <w:rPr>
          <w:i/>
          <w:sz w:val="20"/>
        </w:rPr>
        <w:t>=p&lt;0.10.  See text for control variables</w:t>
      </w:r>
      <w:r w:rsidRPr="00076FDD">
        <w:rPr>
          <w:i/>
          <w:sz w:val="20"/>
        </w:rPr>
        <w:t>.</w:t>
      </w:r>
    </w:p>
    <w:p w14:paraId="2C6134D2" w14:textId="77777777" w:rsidR="00EB19C5" w:rsidRDefault="00EB19C5" w:rsidP="00EB19C5"/>
    <w:p w14:paraId="28343634" w14:textId="77777777" w:rsidR="00EB19C5" w:rsidRDefault="00EB19C5" w:rsidP="00EB19C5">
      <w:pPr>
        <w:spacing w:after="160" w:line="259" w:lineRule="auto"/>
      </w:pPr>
      <w:r>
        <w:br w:type="page"/>
      </w:r>
    </w:p>
    <w:p w14:paraId="76104187" w14:textId="77777777" w:rsidR="00EB19C5" w:rsidRDefault="00EB19C5" w:rsidP="00EB19C5">
      <w:pPr>
        <w:pStyle w:val="Caption"/>
      </w:pPr>
      <w:bookmarkStart w:id="3" w:name="_Ref386720918"/>
      <w:bookmarkStart w:id="4" w:name="_Ref386744030"/>
      <w:r>
        <w:lastRenderedPageBreak/>
        <w:t xml:space="preserve">Table </w:t>
      </w:r>
      <w:r>
        <w:fldChar w:fldCharType="begin"/>
      </w:r>
      <w:r>
        <w:instrText xml:space="preserve"> SEQ Table \* ARABIC </w:instrText>
      </w:r>
      <w:r>
        <w:fldChar w:fldCharType="separate"/>
      </w:r>
      <w:r>
        <w:rPr>
          <w:noProof/>
        </w:rPr>
        <w:t>3</w:t>
      </w:r>
      <w:r>
        <w:rPr>
          <w:noProof/>
        </w:rPr>
        <w:fldChar w:fldCharType="end"/>
      </w:r>
      <w:bookmarkEnd w:id="3"/>
      <w:r>
        <w:t>: Regression of happiness (0-100 scale) on drinking alcohol at that moment</w:t>
      </w:r>
    </w:p>
    <w:tbl>
      <w:tblPr>
        <w:tblW w:w="9168" w:type="dxa"/>
        <w:jc w:val="center"/>
        <w:tblLook w:val="04A0" w:firstRow="1" w:lastRow="0" w:firstColumn="1" w:lastColumn="0" w:noHBand="0" w:noVBand="1"/>
      </w:tblPr>
      <w:tblGrid>
        <w:gridCol w:w="1830"/>
        <w:gridCol w:w="1094"/>
        <w:gridCol w:w="967"/>
        <w:gridCol w:w="1076"/>
        <w:gridCol w:w="1002"/>
        <w:gridCol w:w="1515"/>
        <w:gridCol w:w="1684"/>
      </w:tblGrid>
      <w:tr w:rsidR="00EB19C5" w:rsidRPr="0025373D" w14:paraId="38CA0723" w14:textId="77777777" w:rsidTr="00120421">
        <w:trPr>
          <w:trHeight w:val="288"/>
          <w:jc w:val="center"/>
        </w:trPr>
        <w:tc>
          <w:tcPr>
            <w:tcW w:w="1830" w:type="dxa"/>
            <w:shd w:val="clear" w:color="auto" w:fill="auto"/>
            <w:noWrap/>
            <w:vAlign w:val="center"/>
            <w:hideMark/>
          </w:tcPr>
          <w:p w14:paraId="68AED3AC" w14:textId="77777777" w:rsidR="00EB19C5" w:rsidRPr="0025373D" w:rsidRDefault="00EB19C5" w:rsidP="00120421">
            <w:pPr>
              <w:spacing w:after="0" w:line="240" w:lineRule="auto"/>
              <w:rPr>
                <w:rFonts w:eastAsia="Times New Roman" w:cs="Times New Roman"/>
                <w:lang w:eastAsia="en-GB" w:bidi="ar-SA"/>
              </w:rPr>
            </w:pPr>
            <w:r>
              <w:t> </w:t>
            </w:r>
          </w:p>
        </w:tc>
        <w:tc>
          <w:tcPr>
            <w:tcW w:w="1094" w:type="dxa"/>
            <w:shd w:val="clear" w:color="auto" w:fill="auto"/>
            <w:noWrap/>
            <w:vAlign w:val="center"/>
            <w:hideMark/>
          </w:tcPr>
          <w:p w14:paraId="15FB6273" w14:textId="77777777" w:rsidR="00EB19C5" w:rsidRPr="0025373D" w:rsidRDefault="00EB19C5" w:rsidP="00120421">
            <w:pPr>
              <w:spacing w:after="0" w:line="240" w:lineRule="auto"/>
              <w:rPr>
                <w:rFonts w:eastAsia="Times New Roman" w:cs="Times New Roman"/>
                <w:lang w:eastAsia="en-GB" w:bidi="ar-SA"/>
              </w:rPr>
            </w:pPr>
            <w:r>
              <w:t>OLS</w:t>
            </w:r>
          </w:p>
        </w:tc>
        <w:tc>
          <w:tcPr>
            <w:tcW w:w="967" w:type="dxa"/>
            <w:shd w:val="clear" w:color="auto" w:fill="auto"/>
            <w:noWrap/>
            <w:vAlign w:val="center"/>
            <w:hideMark/>
          </w:tcPr>
          <w:p w14:paraId="67FC9E02" w14:textId="77777777" w:rsidR="00EB19C5" w:rsidRPr="0025373D" w:rsidRDefault="00EB19C5" w:rsidP="00120421">
            <w:pPr>
              <w:spacing w:after="0" w:line="240" w:lineRule="auto"/>
              <w:rPr>
                <w:rFonts w:eastAsia="Times New Roman" w:cs="Times New Roman"/>
                <w:lang w:eastAsia="en-GB" w:bidi="ar-SA"/>
              </w:rPr>
            </w:pPr>
            <w:r>
              <w:t>OLS</w:t>
            </w:r>
          </w:p>
        </w:tc>
        <w:tc>
          <w:tcPr>
            <w:tcW w:w="1076" w:type="dxa"/>
            <w:shd w:val="clear" w:color="auto" w:fill="auto"/>
            <w:noWrap/>
            <w:vAlign w:val="center"/>
            <w:hideMark/>
          </w:tcPr>
          <w:p w14:paraId="61469076" w14:textId="77777777" w:rsidR="00EB19C5" w:rsidRPr="0025373D" w:rsidRDefault="00EB19C5" w:rsidP="00120421">
            <w:pPr>
              <w:spacing w:after="0" w:line="240" w:lineRule="auto"/>
              <w:rPr>
                <w:rFonts w:eastAsia="Times New Roman" w:cs="Times New Roman"/>
                <w:lang w:eastAsia="en-GB" w:bidi="ar-SA"/>
              </w:rPr>
            </w:pPr>
            <w:r>
              <w:t>FE</w:t>
            </w:r>
          </w:p>
        </w:tc>
        <w:tc>
          <w:tcPr>
            <w:tcW w:w="1002" w:type="dxa"/>
            <w:shd w:val="clear" w:color="auto" w:fill="auto"/>
            <w:noWrap/>
            <w:vAlign w:val="center"/>
            <w:hideMark/>
          </w:tcPr>
          <w:p w14:paraId="6B20E19F" w14:textId="77777777" w:rsidR="00EB19C5" w:rsidRPr="0025373D" w:rsidRDefault="00EB19C5" w:rsidP="00120421">
            <w:pPr>
              <w:spacing w:after="0" w:line="240" w:lineRule="auto"/>
              <w:rPr>
                <w:rFonts w:eastAsia="Times New Roman" w:cs="Times New Roman"/>
                <w:lang w:eastAsia="en-GB" w:bidi="ar-SA"/>
              </w:rPr>
            </w:pPr>
            <w:r>
              <w:t>FE</w:t>
            </w:r>
          </w:p>
        </w:tc>
        <w:tc>
          <w:tcPr>
            <w:tcW w:w="1515" w:type="dxa"/>
            <w:shd w:val="clear" w:color="auto" w:fill="auto"/>
            <w:noWrap/>
            <w:vAlign w:val="center"/>
            <w:hideMark/>
          </w:tcPr>
          <w:p w14:paraId="677C7A09" w14:textId="77777777" w:rsidR="00EB19C5" w:rsidRPr="0025373D" w:rsidRDefault="00EB19C5" w:rsidP="00120421">
            <w:pPr>
              <w:spacing w:after="0" w:line="240" w:lineRule="auto"/>
              <w:rPr>
                <w:rFonts w:eastAsia="Times New Roman" w:cs="Times New Roman"/>
                <w:lang w:eastAsia="en-GB" w:bidi="ar-SA"/>
              </w:rPr>
            </w:pPr>
            <w:r>
              <w:t>FE</w:t>
            </w:r>
          </w:p>
        </w:tc>
        <w:tc>
          <w:tcPr>
            <w:tcW w:w="1684" w:type="dxa"/>
            <w:shd w:val="clear" w:color="auto" w:fill="auto"/>
            <w:noWrap/>
            <w:vAlign w:val="center"/>
            <w:hideMark/>
          </w:tcPr>
          <w:p w14:paraId="2D628D0D" w14:textId="77777777" w:rsidR="00EB19C5" w:rsidRPr="0025373D" w:rsidRDefault="00EB19C5" w:rsidP="00120421">
            <w:pPr>
              <w:spacing w:after="0" w:line="240" w:lineRule="auto"/>
              <w:rPr>
                <w:rFonts w:eastAsia="Times New Roman" w:cs="Times New Roman"/>
                <w:lang w:eastAsia="en-GB" w:bidi="ar-SA"/>
              </w:rPr>
            </w:pPr>
            <w:r>
              <w:t>FE</w:t>
            </w:r>
          </w:p>
        </w:tc>
      </w:tr>
      <w:tr w:rsidR="00EB19C5" w:rsidRPr="0025373D" w14:paraId="78789DBD" w14:textId="77777777" w:rsidTr="00120421">
        <w:trPr>
          <w:trHeight w:val="288"/>
          <w:jc w:val="center"/>
        </w:trPr>
        <w:tc>
          <w:tcPr>
            <w:tcW w:w="1830" w:type="dxa"/>
            <w:tcBorders>
              <w:bottom w:val="single" w:sz="4" w:space="0" w:color="auto"/>
            </w:tcBorders>
            <w:shd w:val="clear" w:color="auto" w:fill="auto"/>
            <w:noWrap/>
            <w:vAlign w:val="center"/>
            <w:hideMark/>
          </w:tcPr>
          <w:p w14:paraId="39809445" w14:textId="77777777" w:rsidR="00EB19C5" w:rsidRPr="0025373D" w:rsidRDefault="00EB19C5" w:rsidP="00120421">
            <w:pPr>
              <w:spacing w:after="0" w:line="240" w:lineRule="auto"/>
              <w:rPr>
                <w:rFonts w:eastAsia="Times New Roman" w:cs="Times New Roman"/>
                <w:color w:val="000000"/>
                <w:lang w:eastAsia="en-GB" w:bidi="ar-SA"/>
              </w:rPr>
            </w:pPr>
            <w:r>
              <w:rPr>
                <w:color w:val="000000"/>
              </w:rPr>
              <w:t> </w:t>
            </w:r>
          </w:p>
        </w:tc>
        <w:tc>
          <w:tcPr>
            <w:tcW w:w="1094" w:type="dxa"/>
            <w:tcBorders>
              <w:bottom w:val="single" w:sz="4" w:space="0" w:color="auto"/>
            </w:tcBorders>
            <w:shd w:val="clear" w:color="auto" w:fill="auto"/>
            <w:noWrap/>
            <w:vAlign w:val="center"/>
            <w:hideMark/>
          </w:tcPr>
          <w:p w14:paraId="14C4EAA5" w14:textId="77777777" w:rsidR="00EB19C5" w:rsidRPr="00076FDD" w:rsidRDefault="00EB19C5" w:rsidP="00120421">
            <w:pPr>
              <w:spacing w:after="0" w:line="240" w:lineRule="auto"/>
              <w:rPr>
                <w:rFonts w:eastAsia="Times New Roman" w:cs="Times New Roman"/>
                <w:color w:val="000000"/>
                <w:sz w:val="18"/>
                <w:szCs w:val="20"/>
                <w:lang w:eastAsia="en-GB" w:bidi="ar-SA"/>
              </w:rPr>
            </w:pPr>
            <w:r w:rsidRPr="00076FDD">
              <w:rPr>
                <w:color w:val="000000"/>
                <w:sz w:val="18"/>
                <w:szCs w:val="20"/>
              </w:rPr>
              <w:t>Unadjusted</w:t>
            </w:r>
          </w:p>
        </w:tc>
        <w:tc>
          <w:tcPr>
            <w:tcW w:w="967" w:type="dxa"/>
            <w:tcBorders>
              <w:bottom w:val="single" w:sz="4" w:space="0" w:color="auto"/>
            </w:tcBorders>
            <w:shd w:val="clear" w:color="auto" w:fill="auto"/>
            <w:noWrap/>
            <w:vAlign w:val="center"/>
            <w:hideMark/>
          </w:tcPr>
          <w:p w14:paraId="616A6BAB" w14:textId="77777777" w:rsidR="00EB19C5" w:rsidRPr="00076FDD" w:rsidRDefault="00EB19C5" w:rsidP="00120421">
            <w:pPr>
              <w:spacing w:after="0" w:line="240" w:lineRule="auto"/>
              <w:rPr>
                <w:rFonts w:eastAsia="Times New Roman" w:cs="Times New Roman"/>
                <w:color w:val="000000"/>
                <w:sz w:val="18"/>
                <w:szCs w:val="20"/>
                <w:lang w:eastAsia="en-GB" w:bidi="ar-SA"/>
              </w:rPr>
            </w:pPr>
            <w:r w:rsidRPr="00076FDD">
              <w:rPr>
                <w:color w:val="000000"/>
                <w:sz w:val="18"/>
                <w:szCs w:val="20"/>
              </w:rPr>
              <w:t>Adjusted</w:t>
            </w:r>
          </w:p>
        </w:tc>
        <w:tc>
          <w:tcPr>
            <w:tcW w:w="1076" w:type="dxa"/>
            <w:tcBorders>
              <w:bottom w:val="single" w:sz="4" w:space="0" w:color="auto"/>
            </w:tcBorders>
            <w:shd w:val="clear" w:color="auto" w:fill="auto"/>
            <w:noWrap/>
            <w:vAlign w:val="center"/>
            <w:hideMark/>
          </w:tcPr>
          <w:p w14:paraId="4AB17402" w14:textId="77777777" w:rsidR="00EB19C5" w:rsidRPr="00076FDD" w:rsidRDefault="00EB19C5" w:rsidP="00120421">
            <w:pPr>
              <w:spacing w:after="0" w:line="240" w:lineRule="auto"/>
              <w:rPr>
                <w:rFonts w:eastAsia="Times New Roman" w:cs="Times New Roman"/>
                <w:color w:val="000000"/>
                <w:sz w:val="18"/>
                <w:szCs w:val="20"/>
                <w:lang w:eastAsia="en-GB" w:bidi="ar-SA"/>
              </w:rPr>
            </w:pPr>
            <w:r w:rsidRPr="00076FDD">
              <w:rPr>
                <w:color w:val="000000"/>
                <w:sz w:val="18"/>
                <w:szCs w:val="20"/>
              </w:rPr>
              <w:t>Unadjusted</w:t>
            </w:r>
          </w:p>
        </w:tc>
        <w:tc>
          <w:tcPr>
            <w:tcW w:w="1002" w:type="dxa"/>
            <w:tcBorders>
              <w:bottom w:val="single" w:sz="4" w:space="0" w:color="auto"/>
            </w:tcBorders>
            <w:shd w:val="clear" w:color="auto" w:fill="auto"/>
            <w:noWrap/>
            <w:vAlign w:val="center"/>
            <w:hideMark/>
          </w:tcPr>
          <w:p w14:paraId="14BC585B" w14:textId="77777777" w:rsidR="00EB19C5" w:rsidRPr="00076FDD" w:rsidRDefault="00EB19C5" w:rsidP="00120421">
            <w:pPr>
              <w:spacing w:after="0" w:line="240" w:lineRule="auto"/>
              <w:rPr>
                <w:rFonts w:eastAsia="Times New Roman" w:cs="Times New Roman"/>
                <w:color w:val="000000"/>
                <w:sz w:val="18"/>
                <w:szCs w:val="20"/>
                <w:lang w:eastAsia="en-GB" w:bidi="ar-SA"/>
              </w:rPr>
            </w:pPr>
            <w:r w:rsidRPr="00076FDD">
              <w:rPr>
                <w:color w:val="000000"/>
                <w:sz w:val="18"/>
                <w:szCs w:val="20"/>
              </w:rPr>
              <w:t>Adjusted</w:t>
            </w:r>
          </w:p>
        </w:tc>
        <w:tc>
          <w:tcPr>
            <w:tcW w:w="1515" w:type="dxa"/>
            <w:tcBorders>
              <w:bottom w:val="single" w:sz="4" w:space="0" w:color="auto"/>
            </w:tcBorders>
            <w:shd w:val="clear" w:color="auto" w:fill="auto"/>
            <w:noWrap/>
            <w:vAlign w:val="center"/>
            <w:hideMark/>
          </w:tcPr>
          <w:p w14:paraId="1896568E" w14:textId="77777777" w:rsidR="00EB19C5" w:rsidRPr="00076FDD" w:rsidRDefault="00EB19C5" w:rsidP="00120421">
            <w:pPr>
              <w:spacing w:after="0" w:line="240" w:lineRule="auto"/>
              <w:rPr>
                <w:rFonts w:eastAsia="Times New Roman" w:cs="Times New Roman"/>
                <w:color w:val="000000"/>
                <w:sz w:val="18"/>
                <w:szCs w:val="20"/>
                <w:lang w:eastAsia="en-GB" w:bidi="ar-SA"/>
              </w:rPr>
            </w:pPr>
            <w:r w:rsidRPr="00076FDD">
              <w:rPr>
                <w:color w:val="000000"/>
                <w:sz w:val="18"/>
                <w:szCs w:val="20"/>
              </w:rPr>
              <w:t>Evening-only subsample</w:t>
            </w:r>
          </w:p>
        </w:tc>
        <w:tc>
          <w:tcPr>
            <w:tcW w:w="1684" w:type="dxa"/>
            <w:tcBorders>
              <w:bottom w:val="single" w:sz="4" w:space="0" w:color="auto"/>
            </w:tcBorders>
            <w:shd w:val="clear" w:color="auto" w:fill="auto"/>
            <w:noWrap/>
            <w:vAlign w:val="center"/>
            <w:hideMark/>
          </w:tcPr>
          <w:p w14:paraId="5A83419A" w14:textId="77777777" w:rsidR="00EB19C5" w:rsidRPr="00076FDD" w:rsidRDefault="00EB19C5" w:rsidP="00120421">
            <w:pPr>
              <w:spacing w:after="0" w:line="240" w:lineRule="auto"/>
              <w:rPr>
                <w:rFonts w:eastAsia="Times New Roman" w:cs="Times New Roman"/>
                <w:color w:val="000000"/>
                <w:sz w:val="18"/>
                <w:szCs w:val="20"/>
                <w:lang w:eastAsia="en-GB" w:bidi="ar-SA"/>
              </w:rPr>
            </w:pPr>
            <w:r w:rsidRPr="00076FDD">
              <w:rPr>
                <w:color w:val="000000"/>
                <w:sz w:val="18"/>
                <w:szCs w:val="20"/>
              </w:rPr>
              <w:t>Controlling for earlier happiness</w:t>
            </w:r>
          </w:p>
        </w:tc>
      </w:tr>
      <w:tr w:rsidR="00EB19C5" w:rsidRPr="0025373D" w14:paraId="1004D00C" w14:textId="77777777" w:rsidTr="00120421">
        <w:trPr>
          <w:trHeight w:val="288"/>
          <w:jc w:val="center"/>
        </w:trPr>
        <w:tc>
          <w:tcPr>
            <w:tcW w:w="1830" w:type="dxa"/>
            <w:tcBorders>
              <w:top w:val="single" w:sz="4" w:space="0" w:color="auto"/>
              <w:bottom w:val="single" w:sz="4" w:space="0" w:color="auto"/>
            </w:tcBorders>
            <w:shd w:val="clear" w:color="auto" w:fill="auto"/>
            <w:noWrap/>
            <w:vAlign w:val="center"/>
            <w:hideMark/>
          </w:tcPr>
          <w:p w14:paraId="464851F9" w14:textId="77777777" w:rsidR="00EB19C5" w:rsidRPr="0025373D" w:rsidRDefault="00EB19C5" w:rsidP="00120421">
            <w:pPr>
              <w:spacing w:after="0" w:line="240" w:lineRule="auto"/>
              <w:rPr>
                <w:rFonts w:eastAsia="Times New Roman" w:cs="Times New Roman"/>
                <w:color w:val="000000"/>
                <w:lang w:eastAsia="en-GB" w:bidi="ar-SA"/>
              </w:rPr>
            </w:pPr>
            <w:r>
              <w:rPr>
                <w:color w:val="000000"/>
              </w:rPr>
              <w:t>Drinking alcohol</w:t>
            </w:r>
          </w:p>
        </w:tc>
        <w:tc>
          <w:tcPr>
            <w:tcW w:w="1094" w:type="dxa"/>
            <w:tcBorders>
              <w:top w:val="single" w:sz="4" w:space="0" w:color="auto"/>
              <w:bottom w:val="single" w:sz="4" w:space="0" w:color="auto"/>
            </w:tcBorders>
            <w:shd w:val="clear" w:color="auto" w:fill="auto"/>
            <w:noWrap/>
            <w:vAlign w:val="center"/>
            <w:hideMark/>
          </w:tcPr>
          <w:p w14:paraId="5F7D901A" w14:textId="77777777" w:rsidR="00EB19C5" w:rsidRPr="0025373D" w:rsidRDefault="00EB19C5" w:rsidP="00120421">
            <w:pPr>
              <w:spacing w:after="0" w:line="240" w:lineRule="auto"/>
              <w:rPr>
                <w:rFonts w:eastAsia="Times New Roman" w:cs="Times New Roman"/>
                <w:color w:val="000000"/>
                <w:lang w:eastAsia="en-GB" w:bidi="ar-SA"/>
              </w:rPr>
            </w:pPr>
            <w:r>
              <w:rPr>
                <w:color w:val="000000"/>
              </w:rPr>
              <w:t>10.79**</w:t>
            </w:r>
          </w:p>
        </w:tc>
        <w:tc>
          <w:tcPr>
            <w:tcW w:w="967" w:type="dxa"/>
            <w:tcBorders>
              <w:top w:val="single" w:sz="4" w:space="0" w:color="auto"/>
              <w:bottom w:val="single" w:sz="4" w:space="0" w:color="auto"/>
            </w:tcBorders>
            <w:shd w:val="clear" w:color="auto" w:fill="auto"/>
            <w:noWrap/>
            <w:vAlign w:val="center"/>
            <w:hideMark/>
          </w:tcPr>
          <w:p w14:paraId="6F0E1CB2" w14:textId="77777777" w:rsidR="00EB19C5" w:rsidRPr="0025373D" w:rsidRDefault="00EB19C5" w:rsidP="00120421">
            <w:pPr>
              <w:spacing w:after="0" w:line="240" w:lineRule="auto"/>
              <w:rPr>
                <w:rFonts w:eastAsia="Times New Roman" w:cs="Times New Roman"/>
                <w:color w:val="000000"/>
                <w:lang w:eastAsia="en-GB" w:bidi="ar-SA"/>
              </w:rPr>
            </w:pPr>
            <w:r>
              <w:rPr>
                <w:color w:val="000000"/>
              </w:rPr>
              <w:t>3.65**</w:t>
            </w:r>
          </w:p>
        </w:tc>
        <w:tc>
          <w:tcPr>
            <w:tcW w:w="1076" w:type="dxa"/>
            <w:tcBorders>
              <w:top w:val="single" w:sz="4" w:space="0" w:color="auto"/>
              <w:bottom w:val="single" w:sz="4" w:space="0" w:color="auto"/>
            </w:tcBorders>
            <w:shd w:val="clear" w:color="auto" w:fill="auto"/>
            <w:noWrap/>
            <w:vAlign w:val="center"/>
            <w:hideMark/>
          </w:tcPr>
          <w:p w14:paraId="0B6FBE0C" w14:textId="77777777" w:rsidR="00EB19C5" w:rsidRPr="0025373D" w:rsidRDefault="00EB19C5" w:rsidP="00120421">
            <w:pPr>
              <w:spacing w:after="0" w:line="240" w:lineRule="auto"/>
              <w:rPr>
                <w:rFonts w:eastAsia="Times New Roman" w:cs="Times New Roman"/>
                <w:color w:val="000000"/>
                <w:lang w:eastAsia="en-GB" w:bidi="ar-SA"/>
              </w:rPr>
            </w:pPr>
            <w:r>
              <w:rPr>
                <w:color w:val="000000"/>
              </w:rPr>
              <w:t>10.28**</w:t>
            </w:r>
          </w:p>
        </w:tc>
        <w:tc>
          <w:tcPr>
            <w:tcW w:w="1002" w:type="dxa"/>
            <w:tcBorders>
              <w:top w:val="single" w:sz="4" w:space="0" w:color="auto"/>
              <w:bottom w:val="single" w:sz="4" w:space="0" w:color="auto"/>
            </w:tcBorders>
            <w:shd w:val="clear" w:color="auto" w:fill="auto"/>
            <w:noWrap/>
            <w:vAlign w:val="center"/>
            <w:hideMark/>
          </w:tcPr>
          <w:p w14:paraId="58DA7CB1" w14:textId="77777777" w:rsidR="00EB19C5" w:rsidRPr="0025373D" w:rsidRDefault="00EB19C5" w:rsidP="00120421">
            <w:pPr>
              <w:spacing w:after="0" w:line="240" w:lineRule="auto"/>
              <w:rPr>
                <w:rFonts w:eastAsia="Times New Roman" w:cs="Times New Roman"/>
                <w:color w:val="000000"/>
                <w:lang w:eastAsia="en-GB" w:bidi="ar-SA"/>
              </w:rPr>
            </w:pPr>
            <w:r>
              <w:rPr>
                <w:color w:val="000000"/>
              </w:rPr>
              <w:t>3.88**</w:t>
            </w:r>
          </w:p>
        </w:tc>
        <w:tc>
          <w:tcPr>
            <w:tcW w:w="1515" w:type="dxa"/>
            <w:tcBorders>
              <w:top w:val="single" w:sz="4" w:space="0" w:color="auto"/>
              <w:bottom w:val="single" w:sz="4" w:space="0" w:color="auto"/>
            </w:tcBorders>
            <w:shd w:val="clear" w:color="auto" w:fill="auto"/>
            <w:noWrap/>
            <w:vAlign w:val="center"/>
            <w:hideMark/>
          </w:tcPr>
          <w:p w14:paraId="50EE8431" w14:textId="77777777" w:rsidR="00EB19C5" w:rsidRPr="0025373D" w:rsidRDefault="00EB19C5" w:rsidP="00120421">
            <w:pPr>
              <w:spacing w:after="0" w:line="240" w:lineRule="auto"/>
              <w:rPr>
                <w:rFonts w:eastAsia="Times New Roman" w:cs="Times New Roman"/>
                <w:color w:val="000000"/>
                <w:lang w:eastAsia="en-GB" w:bidi="ar-SA"/>
              </w:rPr>
            </w:pPr>
            <w:r>
              <w:rPr>
                <w:color w:val="000000"/>
              </w:rPr>
              <w:t>3.64**</w:t>
            </w:r>
          </w:p>
        </w:tc>
        <w:tc>
          <w:tcPr>
            <w:tcW w:w="1684" w:type="dxa"/>
            <w:tcBorders>
              <w:top w:val="single" w:sz="4" w:space="0" w:color="auto"/>
              <w:bottom w:val="single" w:sz="4" w:space="0" w:color="auto"/>
            </w:tcBorders>
            <w:shd w:val="clear" w:color="auto" w:fill="auto"/>
            <w:noWrap/>
            <w:vAlign w:val="center"/>
            <w:hideMark/>
          </w:tcPr>
          <w:p w14:paraId="6952293C" w14:textId="77777777" w:rsidR="00EB19C5" w:rsidRPr="0025373D" w:rsidRDefault="00EB19C5" w:rsidP="00120421">
            <w:pPr>
              <w:spacing w:after="0" w:line="240" w:lineRule="auto"/>
              <w:rPr>
                <w:rFonts w:eastAsia="Times New Roman" w:cs="Times New Roman"/>
                <w:color w:val="000000"/>
                <w:lang w:eastAsia="en-GB" w:bidi="ar-SA"/>
              </w:rPr>
            </w:pPr>
            <w:r>
              <w:rPr>
                <w:color w:val="000000"/>
              </w:rPr>
              <w:t>3.30**</w:t>
            </w:r>
          </w:p>
        </w:tc>
      </w:tr>
      <w:tr w:rsidR="00EB19C5" w:rsidRPr="0025373D" w14:paraId="661CD677" w14:textId="77777777" w:rsidTr="00120421">
        <w:trPr>
          <w:trHeight w:val="288"/>
          <w:jc w:val="center"/>
        </w:trPr>
        <w:tc>
          <w:tcPr>
            <w:tcW w:w="1830" w:type="dxa"/>
            <w:tcBorders>
              <w:top w:val="single" w:sz="4" w:space="0" w:color="auto"/>
            </w:tcBorders>
            <w:shd w:val="clear" w:color="auto" w:fill="auto"/>
            <w:noWrap/>
            <w:vAlign w:val="center"/>
            <w:hideMark/>
          </w:tcPr>
          <w:p w14:paraId="23AE0965" w14:textId="77777777" w:rsidR="00EB19C5" w:rsidRPr="00DB4B28" w:rsidRDefault="00EB19C5" w:rsidP="00120421">
            <w:pPr>
              <w:spacing w:after="0" w:line="240" w:lineRule="auto"/>
              <w:rPr>
                <w:rFonts w:eastAsia="Times New Roman" w:cs="Times New Roman"/>
                <w:color w:val="000000"/>
                <w:lang w:eastAsia="en-GB" w:bidi="ar-SA"/>
              </w:rPr>
            </w:pPr>
            <w:r w:rsidRPr="00DB4B28">
              <w:rPr>
                <w:color w:val="000000"/>
              </w:rPr>
              <w:t>n (person-waves)</w:t>
            </w:r>
          </w:p>
        </w:tc>
        <w:tc>
          <w:tcPr>
            <w:tcW w:w="1094" w:type="dxa"/>
            <w:tcBorders>
              <w:top w:val="single" w:sz="4" w:space="0" w:color="auto"/>
            </w:tcBorders>
            <w:shd w:val="clear" w:color="auto" w:fill="auto"/>
            <w:noWrap/>
            <w:vAlign w:val="center"/>
            <w:hideMark/>
          </w:tcPr>
          <w:p w14:paraId="66AB2189"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2,049,12</w:t>
            </w:r>
            <w:r>
              <w:rPr>
                <w:color w:val="000000"/>
                <w:sz w:val="18"/>
              </w:rPr>
              <w:t>0</w:t>
            </w:r>
          </w:p>
        </w:tc>
        <w:tc>
          <w:tcPr>
            <w:tcW w:w="967" w:type="dxa"/>
            <w:tcBorders>
              <w:top w:val="single" w:sz="4" w:space="0" w:color="auto"/>
            </w:tcBorders>
            <w:shd w:val="clear" w:color="auto" w:fill="auto"/>
            <w:noWrap/>
            <w:vAlign w:val="center"/>
            <w:hideMark/>
          </w:tcPr>
          <w:p w14:paraId="4E32674D"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1,811,089</w:t>
            </w:r>
          </w:p>
        </w:tc>
        <w:tc>
          <w:tcPr>
            <w:tcW w:w="1076" w:type="dxa"/>
            <w:tcBorders>
              <w:top w:val="single" w:sz="4" w:space="0" w:color="auto"/>
            </w:tcBorders>
            <w:shd w:val="clear" w:color="auto" w:fill="auto"/>
            <w:noWrap/>
            <w:vAlign w:val="center"/>
            <w:hideMark/>
          </w:tcPr>
          <w:p w14:paraId="7EB1C957"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2,049,12</w:t>
            </w:r>
            <w:r>
              <w:rPr>
                <w:color w:val="000000"/>
                <w:sz w:val="18"/>
              </w:rPr>
              <w:t>0</w:t>
            </w:r>
          </w:p>
        </w:tc>
        <w:tc>
          <w:tcPr>
            <w:tcW w:w="1002" w:type="dxa"/>
            <w:tcBorders>
              <w:top w:val="single" w:sz="4" w:space="0" w:color="auto"/>
            </w:tcBorders>
            <w:shd w:val="clear" w:color="auto" w:fill="auto"/>
            <w:noWrap/>
            <w:vAlign w:val="center"/>
            <w:hideMark/>
          </w:tcPr>
          <w:p w14:paraId="0585FCAE"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2,049,12</w:t>
            </w:r>
            <w:r>
              <w:rPr>
                <w:color w:val="000000"/>
                <w:sz w:val="18"/>
              </w:rPr>
              <w:t>0</w:t>
            </w:r>
          </w:p>
        </w:tc>
        <w:tc>
          <w:tcPr>
            <w:tcW w:w="1515" w:type="dxa"/>
            <w:tcBorders>
              <w:top w:val="single" w:sz="4" w:space="0" w:color="auto"/>
            </w:tcBorders>
            <w:shd w:val="clear" w:color="auto" w:fill="auto"/>
            <w:noWrap/>
            <w:vAlign w:val="center"/>
            <w:hideMark/>
          </w:tcPr>
          <w:p w14:paraId="003B4C3F"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418,919</w:t>
            </w:r>
          </w:p>
        </w:tc>
        <w:tc>
          <w:tcPr>
            <w:tcW w:w="1684" w:type="dxa"/>
            <w:tcBorders>
              <w:top w:val="single" w:sz="4" w:space="0" w:color="auto"/>
            </w:tcBorders>
            <w:shd w:val="clear" w:color="auto" w:fill="auto"/>
            <w:noWrap/>
            <w:vAlign w:val="center"/>
            <w:hideMark/>
          </w:tcPr>
          <w:p w14:paraId="7DE8C6BA"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418,919</w:t>
            </w:r>
          </w:p>
        </w:tc>
      </w:tr>
      <w:tr w:rsidR="00EB19C5" w:rsidRPr="0025373D" w14:paraId="026762D0" w14:textId="77777777" w:rsidTr="00120421">
        <w:trPr>
          <w:trHeight w:val="288"/>
          <w:jc w:val="center"/>
        </w:trPr>
        <w:tc>
          <w:tcPr>
            <w:tcW w:w="1830" w:type="dxa"/>
            <w:shd w:val="clear" w:color="auto" w:fill="auto"/>
            <w:noWrap/>
            <w:vAlign w:val="center"/>
            <w:hideMark/>
          </w:tcPr>
          <w:p w14:paraId="7B5C75E8" w14:textId="77777777" w:rsidR="00EB19C5" w:rsidRPr="00DB4B28" w:rsidRDefault="00EB19C5" w:rsidP="00120421">
            <w:pPr>
              <w:spacing w:after="0" w:line="240" w:lineRule="auto"/>
              <w:rPr>
                <w:rFonts w:eastAsia="Times New Roman" w:cs="Times New Roman"/>
                <w:color w:val="000000"/>
                <w:lang w:eastAsia="en-GB" w:bidi="ar-SA"/>
              </w:rPr>
            </w:pPr>
            <w:r w:rsidRPr="00DB4B28">
              <w:rPr>
                <w:color w:val="000000"/>
              </w:rPr>
              <w:t>n (persons)</w:t>
            </w:r>
          </w:p>
        </w:tc>
        <w:tc>
          <w:tcPr>
            <w:tcW w:w="1094" w:type="dxa"/>
            <w:shd w:val="clear" w:color="auto" w:fill="auto"/>
            <w:noWrap/>
            <w:vAlign w:val="center"/>
            <w:hideMark/>
          </w:tcPr>
          <w:p w14:paraId="25244DF4"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31,30</w:t>
            </w:r>
            <w:r>
              <w:rPr>
                <w:color w:val="000000"/>
                <w:sz w:val="18"/>
              </w:rPr>
              <w:t>2</w:t>
            </w:r>
          </w:p>
        </w:tc>
        <w:tc>
          <w:tcPr>
            <w:tcW w:w="967" w:type="dxa"/>
            <w:shd w:val="clear" w:color="auto" w:fill="auto"/>
            <w:noWrap/>
            <w:vAlign w:val="center"/>
            <w:hideMark/>
          </w:tcPr>
          <w:p w14:paraId="7CCF491A"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26,886</w:t>
            </w:r>
          </w:p>
        </w:tc>
        <w:tc>
          <w:tcPr>
            <w:tcW w:w="1076" w:type="dxa"/>
            <w:shd w:val="clear" w:color="auto" w:fill="auto"/>
            <w:noWrap/>
            <w:vAlign w:val="center"/>
            <w:hideMark/>
          </w:tcPr>
          <w:p w14:paraId="373464E1"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31,30</w:t>
            </w:r>
            <w:r>
              <w:rPr>
                <w:color w:val="000000"/>
                <w:sz w:val="18"/>
              </w:rPr>
              <w:t>2</w:t>
            </w:r>
          </w:p>
        </w:tc>
        <w:tc>
          <w:tcPr>
            <w:tcW w:w="1002" w:type="dxa"/>
            <w:shd w:val="clear" w:color="auto" w:fill="auto"/>
            <w:noWrap/>
            <w:vAlign w:val="center"/>
            <w:hideMark/>
          </w:tcPr>
          <w:p w14:paraId="700EDDEF"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31,30</w:t>
            </w:r>
            <w:r>
              <w:rPr>
                <w:color w:val="000000"/>
                <w:sz w:val="18"/>
              </w:rPr>
              <w:t>2</w:t>
            </w:r>
          </w:p>
        </w:tc>
        <w:tc>
          <w:tcPr>
            <w:tcW w:w="1515" w:type="dxa"/>
            <w:shd w:val="clear" w:color="auto" w:fill="auto"/>
            <w:noWrap/>
            <w:vAlign w:val="center"/>
            <w:hideMark/>
          </w:tcPr>
          <w:p w14:paraId="0564FDA2"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24,437</w:t>
            </w:r>
          </w:p>
        </w:tc>
        <w:tc>
          <w:tcPr>
            <w:tcW w:w="1684" w:type="dxa"/>
            <w:shd w:val="clear" w:color="auto" w:fill="auto"/>
            <w:noWrap/>
            <w:vAlign w:val="center"/>
            <w:hideMark/>
          </w:tcPr>
          <w:p w14:paraId="0E62E13C" w14:textId="77777777" w:rsidR="00EB19C5" w:rsidRPr="00076FDD" w:rsidRDefault="00EB19C5" w:rsidP="00120421">
            <w:pPr>
              <w:spacing w:after="0" w:line="240" w:lineRule="auto"/>
              <w:rPr>
                <w:rFonts w:eastAsia="Times New Roman" w:cs="Times New Roman"/>
                <w:color w:val="000000"/>
                <w:sz w:val="18"/>
                <w:lang w:eastAsia="en-GB" w:bidi="ar-SA"/>
              </w:rPr>
            </w:pPr>
            <w:r w:rsidRPr="00076FDD">
              <w:rPr>
                <w:color w:val="000000"/>
                <w:sz w:val="18"/>
              </w:rPr>
              <w:t>24,437</w:t>
            </w:r>
          </w:p>
        </w:tc>
      </w:tr>
    </w:tbl>
    <w:p w14:paraId="534678E3" w14:textId="77777777" w:rsidR="00EB19C5" w:rsidRDefault="00EB19C5" w:rsidP="00EB19C5">
      <w:pPr>
        <w:spacing w:before="240" w:line="240" w:lineRule="auto"/>
        <w:ind w:left="284" w:right="237"/>
        <w:rPr>
          <w:i/>
          <w:sz w:val="20"/>
        </w:rPr>
      </w:pPr>
      <w:r>
        <w:rPr>
          <w:i/>
          <w:sz w:val="20"/>
        </w:rPr>
        <w:t xml:space="preserve">Significance: **=p&lt;0.01; *=p&lt;0.05.  Control variables are given in the text, and coefficients in </w:t>
      </w:r>
      <w:r w:rsidRPr="00076FDD">
        <w:rPr>
          <w:i/>
          <w:sz w:val="20"/>
        </w:rPr>
        <w:t>Web Appendix S</w:t>
      </w:r>
      <w:r>
        <w:rPr>
          <w:i/>
          <w:sz w:val="20"/>
        </w:rPr>
        <w:t>6</w:t>
      </w:r>
      <w:r w:rsidRPr="00076FDD">
        <w:rPr>
          <w:i/>
          <w:sz w:val="20"/>
        </w:rPr>
        <w:t>.</w:t>
      </w:r>
    </w:p>
    <w:bookmarkEnd w:id="4"/>
    <w:p w14:paraId="51988691" w14:textId="77777777" w:rsidR="00EB19C5" w:rsidRDefault="00EB19C5" w:rsidP="00EB19C5">
      <w:pPr>
        <w:spacing w:after="160" w:line="259" w:lineRule="auto"/>
      </w:pPr>
    </w:p>
    <w:p w14:paraId="4AD76B8F" w14:textId="77777777" w:rsidR="006F5734" w:rsidRDefault="006F5734"/>
    <w:sectPr w:rsidR="006F5734" w:rsidSect="008A6F3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0F796" w14:textId="77777777" w:rsidR="0094771F" w:rsidRDefault="0094771F">
      <w:pPr>
        <w:spacing w:after="0" w:line="240" w:lineRule="auto"/>
      </w:pPr>
      <w:r>
        <w:separator/>
      </w:r>
    </w:p>
  </w:endnote>
  <w:endnote w:type="continuationSeparator" w:id="0">
    <w:p w14:paraId="3BC2E7B0" w14:textId="77777777" w:rsidR="0094771F" w:rsidRDefault="0094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6ADFB" w14:textId="77777777" w:rsidR="00D56019" w:rsidRPr="005747FD" w:rsidRDefault="00D56019" w:rsidP="00504FE6">
    <w:pPr>
      <w:jc w:val="center"/>
      <w:rPr>
        <w:i/>
        <w:sz w:val="20"/>
      </w:rPr>
    </w:pPr>
    <w:r w:rsidRPr="005747FD">
      <w:rPr>
        <w:i/>
        <w:sz w:val="20"/>
      </w:rPr>
      <w:t xml:space="preserve">Page </w:t>
    </w:r>
    <w:r w:rsidRPr="005747FD">
      <w:rPr>
        <w:i/>
        <w:sz w:val="20"/>
      </w:rPr>
      <w:fldChar w:fldCharType="begin"/>
    </w:r>
    <w:r w:rsidRPr="005747FD">
      <w:rPr>
        <w:i/>
        <w:sz w:val="20"/>
      </w:rPr>
      <w:instrText xml:space="preserve"> PAGE  \* Arabic  \* MERGEFORMAT </w:instrText>
    </w:r>
    <w:r w:rsidRPr="005747FD">
      <w:rPr>
        <w:i/>
        <w:sz w:val="20"/>
      </w:rPr>
      <w:fldChar w:fldCharType="separate"/>
    </w:r>
    <w:r w:rsidR="00EB19C5">
      <w:rPr>
        <w:i/>
        <w:noProof/>
        <w:sz w:val="20"/>
      </w:rPr>
      <w:t>1</w:t>
    </w:r>
    <w:r w:rsidRPr="005747FD">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82501" w14:textId="77777777" w:rsidR="0094771F" w:rsidRDefault="0094771F">
      <w:pPr>
        <w:spacing w:after="0" w:line="240" w:lineRule="auto"/>
      </w:pPr>
      <w:r>
        <w:separator/>
      </w:r>
    </w:p>
  </w:footnote>
  <w:footnote w:type="continuationSeparator" w:id="0">
    <w:p w14:paraId="47E762FC" w14:textId="77777777" w:rsidR="0094771F" w:rsidRDefault="00947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B19"/>
    <w:multiLevelType w:val="hybridMultilevel"/>
    <w:tmpl w:val="73061E3E"/>
    <w:lvl w:ilvl="0" w:tplc="9DBCBE1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ED6315"/>
    <w:multiLevelType w:val="hybridMultilevel"/>
    <w:tmpl w:val="F466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7C6C6E"/>
    <w:multiLevelType w:val="multilevel"/>
    <w:tmpl w:val="1944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727DA0"/>
    <w:multiLevelType w:val="hybridMultilevel"/>
    <w:tmpl w:val="D7208AE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nsid w:val="1CB2028F"/>
    <w:multiLevelType w:val="hybridMultilevel"/>
    <w:tmpl w:val="BA4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9031BE6"/>
    <w:multiLevelType w:val="multilevel"/>
    <w:tmpl w:val="E6D41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B853E2"/>
    <w:multiLevelType w:val="multilevel"/>
    <w:tmpl w:val="93523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64013627"/>
    <w:multiLevelType w:val="hybridMultilevel"/>
    <w:tmpl w:val="9E76A384"/>
    <w:lvl w:ilvl="0" w:tplc="3D4ACC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CA6ECC"/>
    <w:multiLevelType w:val="hybridMultilevel"/>
    <w:tmpl w:val="107EF722"/>
    <w:lvl w:ilvl="0" w:tplc="FA16B54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DF7100"/>
    <w:multiLevelType w:val="hybridMultilevel"/>
    <w:tmpl w:val="E28EFECA"/>
    <w:lvl w:ilvl="0" w:tplc="05FA9EBA">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E56053"/>
    <w:multiLevelType w:val="hybridMultilevel"/>
    <w:tmpl w:val="22F0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7"/>
  </w:num>
  <w:num w:numId="8">
    <w:abstractNumId w:val="9"/>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ocial Science and Medicin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tprxrp6925duet9e6pf2zo2drwvda5wf02&quot;&gt;Alcohol Refs&lt;record-ids&gt;&lt;item&gt;44&lt;/item&gt;&lt;item&gt;1864&lt;/item&gt;&lt;item&gt;2001&lt;/item&gt;&lt;item&gt;2027&lt;/item&gt;&lt;item&gt;2032&lt;/item&gt;&lt;item&gt;2035&lt;/item&gt;&lt;item&gt;2046&lt;/item&gt;&lt;item&gt;2076&lt;/item&gt;&lt;item&gt;2135&lt;/item&gt;&lt;item&gt;2136&lt;/item&gt;&lt;item&gt;2138&lt;/item&gt;&lt;item&gt;2139&lt;/item&gt;&lt;item&gt;2140&lt;/item&gt;&lt;item&gt;2141&lt;/item&gt;&lt;item&gt;2148&lt;/item&gt;&lt;item&gt;2151&lt;/item&gt;&lt;item&gt;2154&lt;/item&gt;&lt;item&gt;2156&lt;/item&gt;&lt;item&gt;2159&lt;/item&gt;&lt;item&gt;2161&lt;/item&gt;&lt;item&gt;2163&lt;/item&gt;&lt;item&gt;2165&lt;/item&gt;&lt;item&gt;2172&lt;/item&gt;&lt;item&gt;2173&lt;/item&gt;&lt;item&gt;2174&lt;/item&gt;&lt;item&gt;2175&lt;/item&gt;&lt;item&gt;2176&lt;/item&gt;&lt;item&gt;2177&lt;/item&gt;&lt;item&gt;2178&lt;/item&gt;&lt;item&gt;2182&lt;/item&gt;&lt;item&gt;2183&lt;/item&gt;&lt;item&gt;2186&lt;/item&gt;&lt;item&gt;2187&lt;/item&gt;&lt;item&gt;2189&lt;/item&gt;&lt;item&gt;2194&lt;/item&gt;&lt;item&gt;2204&lt;/item&gt;&lt;item&gt;2206&lt;/item&gt;&lt;item&gt;2207&lt;/item&gt;&lt;item&gt;2209&lt;/item&gt;&lt;item&gt;2212&lt;/item&gt;&lt;item&gt;2221&lt;/item&gt;&lt;item&gt;2223&lt;/item&gt;&lt;item&gt;2304&lt;/item&gt;&lt;item&gt;2305&lt;/item&gt;&lt;item&gt;2306&lt;/item&gt;&lt;item&gt;2307&lt;/item&gt;&lt;item&gt;2308&lt;/item&gt;&lt;/record-ids&gt;&lt;/item&gt;&lt;/Libraries&gt;"/>
  </w:docVars>
  <w:rsids>
    <w:rsidRoot w:val="00B07D80"/>
    <w:rsid w:val="00000C9D"/>
    <w:rsid w:val="000034B6"/>
    <w:rsid w:val="00003C4B"/>
    <w:rsid w:val="00003CAD"/>
    <w:rsid w:val="00003FA4"/>
    <w:rsid w:val="000054BF"/>
    <w:rsid w:val="00005AB8"/>
    <w:rsid w:val="00005B10"/>
    <w:rsid w:val="00006064"/>
    <w:rsid w:val="00006E42"/>
    <w:rsid w:val="00007512"/>
    <w:rsid w:val="00007876"/>
    <w:rsid w:val="00007E92"/>
    <w:rsid w:val="000103C8"/>
    <w:rsid w:val="000123D4"/>
    <w:rsid w:val="000126D4"/>
    <w:rsid w:val="00012BB7"/>
    <w:rsid w:val="00012FA9"/>
    <w:rsid w:val="00013150"/>
    <w:rsid w:val="000136F5"/>
    <w:rsid w:val="00013742"/>
    <w:rsid w:val="00013B69"/>
    <w:rsid w:val="00013ED2"/>
    <w:rsid w:val="00015ACB"/>
    <w:rsid w:val="00016B30"/>
    <w:rsid w:val="00020A5C"/>
    <w:rsid w:val="00021CBF"/>
    <w:rsid w:val="00022FBB"/>
    <w:rsid w:val="00023E3A"/>
    <w:rsid w:val="00023FDF"/>
    <w:rsid w:val="000240EC"/>
    <w:rsid w:val="00024DED"/>
    <w:rsid w:val="0002552F"/>
    <w:rsid w:val="00025CBA"/>
    <w:rsid w:val="00030123"/>
    <w:rsid w:val="00030453"/>
    <w:rsid w:val="000306A2"/>
    <w:rsid w:val="00031C61"/>
    <w:rsid w:val="0003226B"/>
    <w:rsid w:val="000322DE"/>
    <w:rsid w:val="00032417"/>
    <w:rsid w:val="000324A2"/>
    <w:rsid w:val="000324E9"/>
    <w:rsid w:val="0003320D"/>
    <w:rsid w:val="00033BF1"/>
    <w:rsid w:val="0003446F"/>
    <w:rsid w:val="000351D7"/>
    <w:rsid w:val="00035624"/>
    <w:rsid w:val="00036F56"/>
    <w:rsid w:val="0003743F"/>
    <w:rsid w:val="000401C6"/>
    <w:rsid w:val="00040672"/>
    <w:rsid w:val="000407F2"/>
    <w:rsid w:val="000419E4"/>
    <w:rsid w:val="000421F9"/>
    <w:rsid w:val="00042475"/>
    <w:rsid w:val="0004315C"/>
    <w:rsid w:val="00044B5F"/>
    <w:rsid w:val="00045986"/>
    <w:rsid w:val="00045BD6"/>
    <w:rsid w:val="000461F6"/>
    <w:rsid w:val="00046677"/>
    <w:rsid w:val="00046806"/>
    <w:rsid w:val="00046A92"/>
    <w:rsid w:val="00046E53"/>
    <w:rsid w:val="00050C05"/>
    <w:rsid w:val="00050E83"/>
    <w:rsid w:val="0005104D"/>
    <w:rsid w:val="0005111E"/>
    <w:rsid w:val="0005155B"/>
    <w:rsid w:val="0005245F"/>
    <w:rsid w:val="00052BBE"/>
    <w:rsid w:val="00052E8A"/>
    <w:rsid w:val="00053E5E"/>
    <w:rsid w:val="000543E5"/>
    <w:rsid w:val="000558EA"/>
    <w:rsid w:val="000569B2"/>
    <w:rsid w:val="00057666"/>
    <w:rsid w:val="00057822"/>
    <w:rsid w:val="0006004F"/>
    <w:rsid w:val="00060284"/>
    <w:rsid w:val="00060CCA"/>
    <w:rsid w:val="000615E9"/>
    <w:rsid w:val="00062DDA"/>
    <w:rsid w:val="0006394C"/>
    <w:rsid w:val="00063F61"/>
    <w:rsid w:val="00064E28"/>
    <w:rsid w:val="00064F5B"/>
    <w:rsid w:val="000658E2"/>
    <w:rsid w:val="000664D1"/>
    <w:rsid w:val="000703E2"/>
    <w:rsid w:val="00070A2B"/>
    <w:rsid w:val="00070A2C"/>
    <w:rsid w:val="000736FD"/>
    <w:rsid w:val="00073AA6"/>
    <w:rsid w:val="00073B33"/>
    <w:rsid w:val="00074745"/>
    <w:rsid w:val="00074A87"/>
    <w:rsid w:val="000758F2"/>
    <w:rsid w:val="00075EEA"/>
    <w:rsid w:val="0007635E"/>
    <w:rsid w:val="00076393"/>
    <w:rsid w:val="0007686E"/>
    <w:rsid w:val="00076AF7"/>
    <w:rsid w:val="0007713A"/>
    <w:rsid w:val="00080BEB"/>
    <w:rsid w:val="00081A56"/>
    <w:rsid w:val="00082154"/>
    <w:rsid w:val="00082D0D"/>
    <w:rsid w:val="00083E1C"/>
    <w:rsid w:val="000844EF"/>
    <w:rsid w:val="00084FD2"/>
    <w:rsid w:val="00085308"/>
    <w:rsid w:val="00085626"/>
    <w:rsid w:val="00085F92"/>
    <w:rsid w:val="00087084"/>
    <w:rsid w:val="00087201"/>
    <w:rsid w:val="00087933"/>
    <w:rsid w:val="00090315"/>
    <w:rsid w:val="00090550"/>
    <w:rsid w:val="00091BA6"/>
    <w:rsid w:val="0009344A"/>
    <w:rsid w:val="0009592F"/>
    <w:rsid w:val="00095C56"/>
    <w:rsid w:val="00096090"/>
    <w:rsid w:val="000960C0"/>
    <w:rsid w:val="00096880"/>
    <w:rsid w:val="00096944"/>
    <w:rsid w:val="000A0C05"/>
    <w:rsid w:val="000A1044"/>
    <w:rsid w:val="000A11EC"/>
    <w:rsid w:val="000A22BC"/>
    <w:rsid w:val="000A2750"/>
    <w:rsid w:val="000A307A"/>
    <w:rsid w:val="000A5641"/>
    <w:rsid w:val="000A5B95"/>
    <w:rsid w:val="000A62BE"/>
    <w:rsid w:val="000A6512"/>
    <w:rsid w:val="000A6839"/>
    <w:rsid w:val="000A78BC"/>
    <w:rsid w:val="000B05EE"/>
    <w:rsid w:val="000B210E"/>
    <w:rsid w:val="000B26C7"/>
    <w:rsid w:val="000B2DC7"/>
    <w:rsid w:val="000B36A3"/>
    <w:rsid w:val="000B3F5A"/>
    <w:rsid w:val="000B5431"/>
    <w:rsid w:val="000B6493"/>
    <w:rsid w:val="000C0290"/>
    <w:rsid w:val="000C10E1"/>
    <w:rsid w:val="000C2350"/>
    <w:rsid w:val="000C2507"/>
    <w:rsid w:val="000C2987"/>
    <w:rsid w:val="000C2EEE"/>
    <w:rsid w:val="000C3515"/>
    <w:rsid w:val="000C3740"/>
    <w:rsid w:val="000C43D8"/>
    <w:rsid w:val="000C4425"/>
    <w:rsid w:val="000C48CA"/>
    <w:rsid w:val="000C4A54"/>
    <w:rsid w:val="000C4D6B"/>
    <w:rsid w:val="000C70E8"/>
    <w:rsid w:val="000D056F"/>
    <w:rsid w:val="000D0840"/>
    <w:rsid w:val="000D25E5"/>
    <w:rsid w:val="000D2A2D"/>
    <w:rsid w:val="000D2C29"/>
    <w:rsid w:val="000D325D"/>
    <w:rsid w:val="000D3591"/>
    <w:rsid w:val="000D4292"/>
    <w:rsid w:val="000D5565"/>
    <w:rsid w:val="000D69D4"/>
    <w:rsid w:val="000D7483"/>
    <w:rsid w:val="000D79AE"/>
    <w:rsid w:val="000D7CBF"/>
    <w:rsid w:val="000E0E74"/>
    <w:rsid w:val="000E180F"/>
    <w:rsid w:val="000E2121"/>
    <w:rsid w:val="000E33DE"/>
    <w:rsid w:val="000E372A"/>
    <w:rsid w:val="000E3FB6"/>
    <w:rsid w:val="000E49EB"/>
    <w:rsid w:val="000E4ABA"/>
    <w:rsid w:val="000E5DE0"/>
    <w:rsid w:val="000E7E86"/>
    <w:rsid w:val="000F098C"/>
    <w:rsid w:val="000F0CA4"/>
    <w:rsid w:val="000F185F"/>
    <w:rsid w:val="000F1C90"/>
    <w:rsid w:val="000F20C8"/>
    <w:rsid w:val="000F255A"/>
    <w:rsid w:val="000F36F5"/>
    <w:rsid w:val="000F372F"/>
    <w:rsid w:val="000F391B"/>
    <w:rsid w:val="000F3D2A"/>
    <w:rsid w:val="000F4AE9"/>
    <w:rsid w:val="000F5839"/>
    <w:rsid w:val="000F585C"/>
    <w:rsid w:val="000F589C"/>
    <w:rsid w:val="000F7175"/>
    <w:rsid w:val="000F7299"/>
    <w:rsid w:val="000F7AF5"/>
    <w:rsid w:val="000F7BD9"/>
    <w:rsid w:val="00100959"/>
    <w:rsid w:val="001012DB"/>
    <w:rsid w:val="00101449"/>
    <w:rsid w:val="00101523"/>
    <w:rsid w:val="001023EA"/>
    <w:rsid w:val="001027B1"/>
    <w:rsid w:val="00103038"/>
    <w:rsid w:val="00103539"/>
    <w:rsid w:val="001046BA"/>
    <w:rsid w:val="00105C84"/>
    <w:rsid w:val="001062F4"/>
    <w:rsid w:val="001063AC"/>
    <w:rsid w:val="001064D7"/>
    <w:rsid w:val="00106619"/>
    <w:rsid w:val="001067EB"/>
    <w:rsid w:val="001069AD"/>
    <w:rsid w:val="00107416"/>
    <w:rsid w:val="0010743E"/>
    <w:rsid w:val="00107991"/>
    <w:rsid w:val="0011057E"/>
    <w:rsid w:val="00111516"/>
    <w:rsid w:val="00111684"/>
    <w:rsid w:val="001118C4"/>
    <w:rsid w:val="00111EF0"/>
    <w:rsid w:val="001155FA"/>
    <w:rsid w:val="0011694F"/>
    <w:rsid w:val="00116B52"/>
    <w:rsid w:val="00117089"/>
    <w:rsid w:val="00120BB4"/>
    <w:rsid w:val="00123216"/>
    <w:rsid w:val="001237A0"/>
    <w:rsid w:val="00123BEC"/>
    <w:rsid w:val="001241C4"/>
    <w:rsid w:val="00124954"/>
    <w:rsid w:val="0012632E"/>
    <w:rsid w:val="0012713C"/>
    <w:rsid w:val="00127581"/>
    <w:rsid w:val="001275F8"/>
    <w:rsid w:val="00130C41"/>
    <w:rsid w:val="001316BF"/>
    <w:rsid w:val="0013174C"/>
    <w:rsid w:val="0013209A"/>
    <w:rsid w:val="0013248D"/>
    <w:rsid w:val="00132921"/>
    <w:rsid w:val="001333BE"/>
    <w:rsid w:val="001335BE"/>
    <w:rsid w:val="001337A3"/>
    <w:rsid w:val="00133B74"/>
    <w:rsid w:val="00134591"/>
    <w:rsid w:val="0013475D"/>
    <w:rsid w:val="001354BA"/>
    <w:rsid w:val="0013753C"/>
    <w:rsid w:val="0013763E"/>
    <w:rsid w:val="00137A19"/>
    <w:rsid w:val="001428A8"/>
    <w:rsid w:val="00142C14"/>
    <w:rsid w:val="00142FCC"/>
    <w:rsid w:val="00143E69"/>
    <w:rsid w:val="00144F57"/>
    <w:rsid w:val="001466E7"/>
    <w:rsid w:val="00147F5F"/>
    <w:rsid w:val="00150429"/>
    <w:rsid w:val="00150530"/>
    <w:rsid w:val="00151AA3"/>
    <w:rsid w:val="00152FA4"/>
    <w:rsid w:val="00153F11"/>
    <w:rsid w:val="001549FB"/>
    <w:rsid w:val="00157315"/>
    <w:rsid w:val="00157C8F"/>
    <w:rsid w:val="00161C5B"/>
    <w:rsid w:val="00163AAE"/>
    <w:rsid w:val="00164402"/>
    <w:rsid w:val="00164908"/>
    <w:rsid w:val="00164FDA"/>
    <w:rsid w:val="001650CB"/>
    <w:rsid w:val="00165B96"/>
    <w:rsid w:val="001662C0"/>
    <w:rsid w:val="00166BC5"/>
    <w:rsid w:val="001670CB"/>
    <w:rsid w:val="001672B7"/>
    <w:rsid w:val="00167B31"/>
    <w:rsid w:val="00170597"/>
    <w:rsid w:val="001709E2"/>
    <w:rsid w:val="001713A3"/>
    <w:rsid w:val="001721CB"/>
    <w:rsid w:val="00172C4A"/>
    <w:rsid w:val="00172E66"/>
    <w:rsid w:val="00173557"/>
    <w:rsid w:val="00173E9F"/>
    <w:rsid w:val="00174698"/>
    <w:rsid w:val="00174E0E"/>
    <w:rsid w:val="00175107"/>
    <w:rsid w:val="001762E6"/>
    <w:rsid w:val="00176779"/>
    <w:rsid w:val="001769FE"/>
    <w:rsid w:val="00176D91"/>
    <w:rsid w:val="00176E65"/>
    <w:rsid w:val="00176EE0"/>
    <w:rsid w:val="00176EF5"/>
    <w:rsid w:val="00180517"/>
    <w:rsid w:val="00180BAD"/>
    <w:rsid w:val="001811DB"/>
    <w:rsid w:val="001813C5"/>
    <w:rsid w:val="0018145C"/>
    <w:rsid w:val="001814F6"/>
    <w:rsid w:val="00181C4C"/>
    <w:rsid w:val="0018261B"/>
    <w:rsid w:val="00182C62"/>
    <w:rsid w:val="00183432"/>
    <w:rsid w:val="00184A5A"/>
    <w:rsid w:val="001855A4"/>
    <w:rsid w:val="001869CE"/>
    <w:rsid w:val="00186B20"/>
    <w:rsid w:val="00187829"/>
    <w:rsid w:val="00190E2A"/>
    <w:rsid w:val="00191B4B"/>
    <w:rsid w:val="00191B89"/>
    <w:rsid w:val="00192661"/>
    <w:rsid w:val="00192664"/>
    <w:rsid w:val="00192FBC"/>
    <w:rsid w:val="00193593"/>
    <w:rsid w:val="0019366D"/>
    <w:rsid w:val="001944BD"/>
    <w:rsid w:val="00194755"/>
    <w:rsid w:val="00194B7D"/>
    <w:rsid w:val="0019551B"/>
    <w:rsid w:val="001957CB"/>
    <w:rsid w:val="001965E3"/>
    <w:rsid w:val="001970C6"/>
    <w:rsid w:val="00197572"/>
    <w:rsid w:val="001A003D"/>
    <w:rsid w:val="001A05B6"/>
    <w:rsid w:val="001A0D0C"/>
    <w:rsid w:val="001A22CD"/>
    <w:rsid w:val="001A32B2"/>
    <w:rsid w:val="001A45DC"/>
    <w:rsid w:val="001A4A85"/>
    <w:rsid w:val="001A53D1"/>
    <w:rsid w:val="001A5932"/>
    <w:rsid w:val="001A7983"/>
    <w:rsid w:val="001A7FCF"/>
    <w:rsid w:val="001B14D1"/>
    <w:rsid w:val="001B16FB"/>
    <w:rsid w:val="001B178E"/>
    <w:rsid w:val="001B24AB"/>
    <w:rsid w:val="001B2CBD"/>
    <w:rsid w:val="001B2EF6"/>
    <w:rsid w:val="001B3CA4"/>
    <w:rsid w:val="001B3F98"/>
    <w:rsid w:val="001B44FB"/>
    <w:rsid w:val="001B6CE3"/>
    <w:rsid w:val="001B7102"/>
    <w:rsid w:val="001B7C1E"/>
    <w:rsid w:val="001C00D1"/>
    <w:rsid w:val="001C0C2A"/>
    <w:rsid w:val="001C12F2"/>
    <w:rsid w:val="001C2147"/>
    <w:rsid w:val="001C2761"/>
    <w:rsid w:val="001C5077"/>
    <w:rsid w:val="001C51E6"/>
    <w:rsid w:val="001C63B0"/>
    <w:rsid w:val="001C6C8B"/>
    <w:rsid w:val="001C6F43"/>
    <w:rsid w:val="001D1480"/>
    <w:rsid w:val="001D14BC"/>
    <w:rsid w:val="001D174A"/>
    <w:rsid w:val="001D18D4"/>
    <w:rsid w:val="001D1D2C"/>
    <w:rsid w:val="001D1EA3"/>
    <w:rsid w:val="001D2ACA"/>
    <w:rsid w:val="001D3183"/>
    <w:rsid w:val="001D3A35"/>
    <w:rsid w:val="001D3A8D"/>
    <w:rsid w:val="001D5838"/>
    <w:rsid w:val="001D5CBB"/>
    <w:rsid w:val="001D704C"/>
    <w:rsid w:val="001D7080"/>
    <w:rsid w:val="001E0897"/>
    <w:rsid w:val="001E0D91"/>
    <w:rsid w:val="001E10D8"/>
    <w:rsid w:val="001E1B15"/>
    <w:rsid w:val="001E315F"/>
    <w:rsid w:val="001E367B"/>
    <w:rsid w:val="001E541F"/>
    <w:rsid w:val="001E6398"/>
    <w:rsid w:val="001E68F9"/>
    <w:rsid w:val="001E79E6"/>
    <w:rsid w:val="001E7B62"/>
    <w:rsid w:val="001F0968"/>
    <w:rsid w:val="001F142C"/>
    <w:rsid w:val="001F1AC6"/>
    <w:rsid w:val="001F28E6"/>
    <w:rsid w:val="001F2F08"/>
    <w:rsid w:val="001F4E0E"/>
    <w:rsid w:val="001F507C"/>
    <w:rsid w:val="001F5938"/>
    <w:rsid w:val="001F6DCC"/>
    <w:rsid w:val="00200A8D"/>
    <w:rsid w:val="0020126A"/>
    <w:rsid w:val="002019E6"/>
    <w:rsid w:val="00201F9A"/>
    <w:rsid w:val="0020345A"/>
    <w:rsid w:val="0020577C"/>
    <w:rsid w:val="002103DB"/>
    <w:rsid w:val="0021046A"/>
    <w:rsid w:val="002105BD"/>
    <w:rsid w:val="00211F75"/>
    <w:rsid w:val="002124FC"/>
    <w:rsid w:val="002130A3"/>
    <w:rsid w:val="00216E12"/>
    <w:rsid w:val="00220FAC"/>
    <w:rsid w:val="0022146D"/>
    <w:rsid w:val="002214B5"/>
    <w:rsid w:val="00221B31"/>
    <w:rsid w:val="002220EE"/>
    <w:rsid w:val="002225EE"/>
    <w:rsid w:val="00222CBB"/>
    <w:rsid w:val="00224EA3"/>
    <w:rsid w:val="00226C78"/>
    <w:rsid w:val="00226D5F"/>
    <w:rsid w:val="00230960"/>
    <w:rsid w:val="002312AB"/>
    <w:rsid w:val="002320FC"/>
    <w:rsid w:val="0023376C"/>
    <w:rsid w:val="002337D2"/>
    <w:rsid w:val="00233883"/>
    <w:rsid w:val="00234B8B"/>
    <w:rsid w:val="00234E7C"/>
    <w:rsid w:val="00235AA8"/>
    <w:rsid w:val="00235AF7"/>
    <w:rsid w:val="00236513"/>
    <w:rsid w:val="002372A1"/>
    <w:rsid w:val="00237447"/>
    <w:rsid w:val="00237F48"/>
    <w:rsid w:val="0024044F"/>
    <w:rsid w:val="002423D2"/>
    <w:rsid w:val="00242C62"/>
    <w:rsid w:val="00242DC2"/>
    <w:rsid w:val="00242EB9"/>
    <w:rsid w:val="00243D9C"/>
    <w:rsid w:val="00244505"/>
    <w:rsid w:val="0024598A"/>
    <w:rsid w:val="0024719E"/>
    <w:rsid w:val="00247E75"/>
    <w:rsid w:val="0025087E"/>
    <w:rsid w:val="0025108F"/>
    <w:rsid w:val="00251149"/>
    <w:rsid w:val="002511DD"/>
    <w:rsid w:val="0025156F"/>
    <w:rsid w:val="0025169C"/>
    <w:rsid w:val="00251E8E"/>
    <w:rsid w:val="00252974"/>
    <w:rsid w:val="00252D1A"/>
    <w:rsid w:val="002530E5"/>
    <w:rsid w:val="00253B3A"/>
    <w:rsid w:val="002541B0"/>
    <w:rsid w:val="00254379"/>
    <w:rsid w:val="002543CC"/>
    <w:rsid w:val="0025445A"/>
    <w:rsid w:val="0025489D"/>
    <w:rsid w:val="002549F7"/>
    <w:rsid w:val="0025545C"/>
    <w:rsid w:val="00255B14"/>
    <w:rsid w:val="0025601A"/>
    <w:rsid w:val="0025661C"/>
    <w:rsid w:val="00260948"/>
    <w:rsid w:val="00260C34"/>
    <w:rsid w:val="00261CB3"/>
    <w:rsid w:val="0026242B"/>
    <w:rsid w:val="00263C21"/>
    <w:rsid w:val="0026432B"/>
    <w:rsid w:val="002648A5"/>
    <w:rsid w:val="002678F2"/>
    <w:rsid w:val="00267C09"/>
    <w:rsid w:val="00271010"/>
    <w:rsid w:val="00272128"/>
    <w:rsid w:val="002724A2"/>
    <w:rsid w:val="00272522"/>
    <w:rsid w:val="00272F4A"/>
    <w:rsid w:val="0027387A"/>
    <w:rsid w:val="002754A0"/>
    <w:rsid w:val="0027595D"/>
    <w:rsid w:val="002770D8"/>
    <w:rsid w:val="00277890"/>
    <w:rsid w:val="0028051B"/>
    <w:rsid w:val="002810F3"/>
    <w:rsid w:val="00281600"/>
    <w:rsid w:val="00281BF8"/>
    <w:rsid w:val="00281F36"/>
    <w:rsid w:val="00282393"/>
    <w:rsid w:val="002825F3"/>
    <w:rsid w:val="00282623"/>
    <w:rsid w:val="00283542"/>
    <w:rsid w:val="00285171"/>
    <w:rsid w:val="002869B7"/>
    <w:rsid w:val="00290705"/>
    <w:rsid w:val="00290EA9"/>
    <w:rsid w:val="002913E3"/>
    <w:rsid w:val="00291DEC"/>
    <w:rsid w:val="0029385A"/>
    <w:rsid w:val="00293B39"/>
    <w:rsid w:val="002942E2"/>
    <w:rsid w:val="00294DBC"/>
    <w:rsid w:val="00295827"/>
    <w:rsid w:val="00297A63"/>
    <w:rsid w:val="002A0DC9"/>
    <w:rsid w:val="002A1C9F"/>
    <w:rsid w:val="002A229E"/>
    <w:rsid w:val="002A334E"/>
    <w:rsid w:val="002A3378"/>
    <w:rsid w:val="002A3A2C"/>
    <w:rsid w:val="002A3F47"/>
    <w:rsid w:val="002A45D6"/>
    <w:rsid w:val="002A5E00"/>
    <w:rsid w:val="002A6B74"/>
    <w:rsid w:val="002A6F6D"/>
    <w:rsid w:val="002A77D7"/>
    <w:rsid w:val="002A7D6D"/>
    <w:rsid w:val="002B02D7"/>
    <w:rsid w:val="002B1072"/>
    <w:rsid w:val="002B15F0"/>
    <w:rsid w:val="002B1945"/>
    <w:rsid w:val="002B388C"/>
    <w:rsid w:val="002B4566"/>
    <w:rsid w:val="002B503E"/>
    <w:rsid w:val="002B51BE"/>
    <w:rsid w:val="002B56D3"/>
    <w:rsid w:val="002B61F9"/>
    <w:rsid w:val="002B663B"/>
    <w:rsid w:val="002B7C15"/>
    <w:rsid w:val="002C04C9"/>
    <w:rsid w:val="002C0721"/>
    <w:rsid w:val="002C0B3B"/>
    <w:rsid w:val="002C0E7C"/>
    <w:rsid w:val="002C17F8"/>
    <w:rsid w:val="002C2642"/>
    <w:rsid w:val="002C2A9A"/>
    <w:rsid w:val="002C3E36"/>
    <w:rsid w:val="002C4A79"/>
    <w:rsid w:val="002C4B98"/>
    <w:rsid w:val="002C4DE0"/>
    <w:rsid w:val="002C50D0"/>
    <w:rsid w:val="002C665C"/>
    <w:rsid w:val="002C77DC"/>
    <w:rsid w:val="002C78AA"/>
    <w:rsid w:val="002C78B4"/>
    <w:rsid w:val="002D0016"/>
    <w:rsid w:val="002D12A0"/>
    <w:rsid w:val="002D173F"/>
    <w:rsid w:val="002D1950"/>
    <w:rsid w:val="002D2612"/>
    <w:rsid w:val="002D3609"/>
    <w:rsid w:val="002D363C"/>
    <w:rsid w:val="002D3AD2"/>
    <w:rsid w:val="002D4240"/>
    <w:rsid w:val="002D5100"/>
    <w:rsid w:val="002D5D87"/>
    <w:rsid w:val="002D6284"/>
    <w:rsid w:val="002D67F5"/>
    <w:rsid w:val="002D74EC"/>
    <w:rsid w:val="002E0818"/>
    <w:rsid w:val="002E0FE4"/>
    <w:rsid w:val="002E102A"/>
    <w:rsid w:val="002E1789"/>
    <w:rsid w:val="002E2375"/>
    <w:rsid w:val="002E3738"/>
    <w:rsid w:val="002E4916"/>
    <w:rsid w:val="002E4EE8"/>
    <w:rsid w:val="002E52DB"/>
    <w:rsid w:val="002E64EC"/>
    <w:rsid w:val="002E677F"/>
    <w:rsid w:val="002E6CEA"/>
    <w:rsid w:val="002E6E9F"/>
    <w:rsid w:val="002E7AAC"/>
    <w:rsid w:val="002E7DBB"/>
    <w:rsid w:val="002E7EA7"/>
    <w:rsid w:val="002E7F1E"/>
    <w:rsid w:val="002F13B1"/>
    <w:rsid w:val="002F2701"/>
    <w:rsid w:val="002F2923"/>
    <w:rsid w:val="002F2B36"/>
    <w:rsid w:val="002F566B"/>
    <w:rsid w:val="002F5789"/>
    <w:rsid w:val="002F5A87"/>
    <w:rsid w:val="002F5C55"/>
    <w:rsid w:val="003008C5"/>
    <w:rsid w:val="00300CB8"/>
    <w:rsid w:val="00300E32"/>
    <w:rsid w:val="003018F2"/>
    <w:rsid w:val="003019AC"/>
    <w:rsid w:val="0030277B"/>
    <w:rsid w:val="00302A8E"/>
    <w:rsid w:val="00302EF2"/>
    <w:rsid w:val="00303F21"/>
    <w:rsid w:val="003040DE"/>
    <w:rsid w:val="003044D9"/>
    <w:rsid w:val="003048B1"/>
    <w:rsid w:val="00306898"/>
    <w:rsid w:val="00307291"/>
    <w:rsid w:val="00307475"/>
    <w:rsid w:val="003110F0"/>
    <w:rsid w:val="00311FAE"/>
    <w:rsid w:val="00312851"/>
    <w:rsid w:val="003141E8"/>
    <w:rsid w:val="00315423"/>
    <w:rsid w:val="003159BA"/>
    <w:rsid w:val="00316422"/>
    <w:rsid w:val="003200E6"/>
    <w:rsid w:val="003201CE"/>
    <w:rsid w:val="003207CD"/>
    <w:rsid w:val="0032091F"/>
    <w:rsid w:val="003223A0"/>
    <w:rsid w:val="0032394B"/>
    <w:rsid w:val="00323F45"/>
    <w:rsid w:val="0032450A"/>
    <w:rsid w:val="003256E5"/>
    <w:rsid w:val="003261A5"/>
    <w:rsid w:val="00326CBE"/>
    <w:rsid w:val="00330353"/>
    <w:rsid w:val="003310B9"/>
    <w:rsid w:val="0033182A"/>
    <w:rsid w:val="00332200"/>
    <w:rsid w:val="00333A9E"/>
    <w:rsid w:val="00334F82"/>
    <w:rsid w:val="003359A1"/>
    <w:rsid w:val="003368E7"/>
    <w:rsid w:val="0033714A"/>
    <w:rsid w:val="00337241"/>
    <w:rsid w:val="003373F7"/>
    <w:rsid w:val="00337894"/>
    <w:rsid w:val="003379BC"/>
    <w:rsid w:val="00341044"/>
    <w:rsid w:val="00342042"/>
    <w:rsid w:val="00343451"/>
    <w:rsid w:val="00343C8B"/>
    <w:rsid w:val="00343D97"/>
    <w:rsid w:val="00344DD9"/>
    <w:rsid w:val="00346202"/>
    <w:rsid w:val="00351007"/>
    <w:rsid w:val="00351D5E"/>
    <w:rsid w:val="003522D0"/>
    <w:rsid w:val="003526D1"/>
    <w:rsid w:val="003528E0"/>
    <w:rsid w:val="00353159"/>
    <w:rsid w:val="00353C32"/>
    <w:rsid w:val="00353E39"/>
    <w:rsid w:val="003552DE"/>
    <w:rsid w:val="00356163"/>
    <w:rsid w:val="0035630D"/>
    <w:rsid w:val="0035727E"/>
    <w:rsid w:val="00360DFF"/>
    <w:rsid w:val="003612B3"/>
    <w:rsid w:val="003612F0"/>
    <w:rsid w:val="0036156A"/>
    <w:rsid w:val="00362A8A"/>
    <w:rsid w:val="00365358"/>
    <w:rsid w:val="00365579"/>
    <w:rsid w:val="0036714E"/>
    <w:rsid w:val="00367758"/>
    <w:rsid w:val="00370461"/>
    <w:rsid w:val="0037051C"/>
    <w:rsid w:val="00370BD9"/>
    <w:rsid w:val="00371B61"/>
    <w:rsid w:val="0037470D"/>
    <w:rsid w:val="00374BE3"/>
    <w:rsid w:val="003764D5"/>
    <w:rsid w:val="003768E9"/>
    <w:rsid w:val="003768FB"/>
    <w:rsid w:val="00376B29"/>
    <w:rsid w:val="00377E87"/>
    <w:rsid w:val="00380143"/>
    <w:rsid w:val="00380D9C"/>
    <w:rsid w:val="003816B8"/>
    <w:rsid w:val="00381703"/>
    <w:rsid w:val="00382938"/>
    <w:rsid w:val="00384432"/>
    <w:rsid w:val="00384A52"/>
    <w:rsid w:val="00384F66"/>
    <w:rsid w:val="00385DC4"/>
    <w:rsid w:val="00386FAF"/>
    <w:rsid w:val="003873F4"/>
    <w:rsid w:val="0039086C"/>
    <w:rsid w:val="00390906"/>
    <w:rsid w:val="003916E2"/>
    <w:rsid w:val="00391792"/>
    <w:rsid w:val="00391B20"/>
    <w:rsid w:val="00392247"/>
    <w:rsid w:val="00392386"/>
    <w:rsid w:val="00392A81"/>
    <w:rsid w:val="00392CB2"/>
    <w:rsid w:val="00392F61"/>
    <w:rsid w:val="00393023"/>
    <w:rsid w:val="00393605"/>
    <w:rsid w:val="0039372E"/>
    <w:rsid w:val="0039473A"/>
    <w:rsid w:val="00394E1E"/>
    <w:rsid w:val="003956CF"/>
    <w:rsid w:val="00396A8F"/>
    <w:rsid w:val="00396E4B"/>
    <w:rsid w:val="003A04EC"/>
    <w:rsid w:val="003A05B0"/>
    <w:rsid w:val="003A1697"/>
    <w:rsid w:val="003A1AB3"/>
    <w:rsid w:val="003A3002"/>
    <w:rsid w:val="003A3EED"/>
    <w:rsid w:val="003A634B"/>
    <w:rsid w:val="003A6A0E"/>
    <w:rsid w:val="003A794F"/>
    <w:rsid w:val="003B0AAD"/>
    <w:rsid w:val="003B0FA1"/>
    <w:rsid w:val="003B236A"/>
    <w:rsid w:val="003B2F9C"/>
    <w:rsid w:val="003B3BF1"/>
    <w:rsid w:val="003B4030"/>
    <w:rsid w:val="003B5515"/>
    <w:rsid w:val="003B5A60"/>
    <w:rsid w:val="003B64F4"/>
    <w:rsid w:val="003B6CF8"/>
    <w:rsid w:val="003B7427"/>
    <w:rsid w:val="003C133E"/>
    <w:rsid w:val="003C175C"/>
    <w:rsid w:val="003C2217"/>
    <w:rsid w:val="003C234E"/>
    <w:rsid w:val="003C3108"/>
    <w:rsid w:val="003C3224"/>
    <w:rsid w:val="003C4224"/>
    <w:rsid w:val="003C662F"/>
    <w:rsid w:val="003C754C"/>
    <w:rsid w:val="003D0C1F"/>
    <w:rsid w:val="003D0FB8"/>
    <w:rsid w:val="003D4696"/>
    <w:rsid w:val="003D47A3"/>
    <w:rsid w:val="003D526F"/>
    <w:rsid w:val="003D5747"/>
    <w:rsid w:val="003D5938"/>
    <w:rsid w:val="003D5C8F"/>
    <w:rsid w:val="003D5FAC"/>
    <w:rsid w:val="003D63FB"/>
    <w:rsid w:val="003D68E0"/>
    <w:rsid w:val="003D7C91"/>
    <w:rsid w:val="003E0811"/>
    <w:rsid w:val="003E082D"/>
    <w:rsid w:val="003E1258"/>
    <w:rsid w:val="003E1D69"/>
    <w:rsid w:val="003E25BA"/>
    <w:rsid w:val="003E2D0C"/>
    <w:rsid w:val="003E38A5"/>
    <w:rsid w:val="003E4FDA"/>
    <w:rsid w:val="003E5306"/>
    <w:rsid w:val="003E554D"/>
    <w:rsid w:val="003E7AAD"/>
    <w:rsid w:val="003F1123"/>
    <w:rsid w:val="003F19AA"/>
    <w:rsid w:val="003F2311"/>
    <w:rsid w:val="003F2CC9"/>
    <w:rsid w:val="003F399A"/>
    <w:rsid w:val="003F3CD0"/>
    <w:rsid w:val="003F3D66"/>
    <w:rsid w:val="003F3D71"/>
    <w:rsid w:val="003F3FA5"/>
    <w:rsid w:val="003F48DA"/>
    <w:rsid w:val="003F4915"/>
    <w:rsid w:val="003F4E92"/>
    <w:rsid w:val="003F509A"/>
    <w:rsid w:val="003F5809"/>
    <w:rsid w:val="003F5BFA"/>
    <w:rsid w:val="003F64C4"/>
    <w:rsid w:val="003F6A64"/>
    <w:rsid w:val="003F6F4C"/>
    <w:rsid w:val="003F7A2C"/>
    <w:rsid w:val="004009A0"/>
    <w:rsid w:val="00401B61"/>
    <w:rsid w:val="00403173"/>
    <w:rsid w:val="00403234"/>
    <w:rsid w:val="00403343"/>
    <w:rsid w:val="00403B95"/>
    <w:rsid w:val="0040400C"/>
    <w:rsid w:val="004045C6"/>
    <w:rsid w:val="00404BBF"/>
    <w:rsid w:val="00405694"/>
    <w:rsid w:val="0040645F"/>
    <w:rsid w:val="00406921"/>
    <w:rsid w:val="004070A8"/>
    <w:rsid w:val="004078A0"/>
    <w:rsid w:val="00407DA3"/>
    <w:rsid w:val="00410918"/>
    <w:rsid w:val="00410BDF"/>
    <w:rsid w:val="00411009"/>
    <w:rsid w:val="004112F7"/>
    <w:rsid w:val="00411762"/>
    <w:rsid w:val="00411D00"/>
    <w:rsid w:val="00411E06"/>
    <w:rsid w:val="004134B5"/>
    <w:rsid w:val="00414438"/>
    <w:rsid w:val="0041485B"/>
    <w:rsid w:val="00415AF0"/>
    <w:rsid w:val="00417D8F"/>
    <w:rsid w:val="00420D74"/>
    <w:rsid w:val="00420E31"/>
    <w:rsid w:val="0042127D"/>
    <w:rsid w:val="00421443"/>
    <w:rsid w:val="00421B63"/>
    <w:rsid w:val="004227BA"/>
    <w:rsid w:val="00422A18"/>
    <w:rsid w:val="00422C87"/>
    <w:rsid w:val="00423963"/>
    <w:rsid w:val="00423ADC"/>
    <w:rsid w:val="00424028"/>
    <w:rsid w:val="0042423E"/>
    <w:rsid w:val="0042451A"/>
    <w:rsid w:val="004246E8"/>
    <w:rsid w:val="00425880"/>
    <w:rsid w:val="00425B0E"/>
    <w:rsid w:val="004264A6"/>
    <w:rsid w:val="00426AC0"/>
    <w:rsid w:val="00426B28"/>
    <w:rsid w:val="00431056"/>
    <w:rsid w:val="00431163"/>
    <w:rsid w:val="004315D6"/>
    <w:rsid w:val="004317B2"/>
    <w:rsid w:val="00431EDA"/>
    <w:rsid w:val="004323DE"/>
    <w:rsid w:val="00432747"/>
    <w:rsid w:val="00432AF4"/>
    <w:rsid w:val="00432D0A"/>
    <w:rsid w:val="00432EB5"/>
    <w:rsid w:val="004343E9"/>
    <w:rsid w:val="00434920"/>
    <w:rsid w:val="00434A4F"/>
    <w:rsid w:val="00435016"/>
    <w:rsid w:val="00435BE7"/>
    <w:rsid w:val="0043776A"/>
    <w:rsid w:val="004401BC"/>
    <w:rsid w:val="004416EF"/>
    <w:rsid w:val="00442078"/>
    <w:rsid w:val="00443845"/>
    <w:rsid w:val="004445D5"/>
    <w:rsid w:val="00444BC6"/>
    <w:rsid w:val="00444F32"/>
    <w:rsid w:val="004458FA"/>
    <w:rsid w:val="0044697E"/>
    <w:rsid w:val="00447A69"/>
    <w:rsid w:val="00450B23"/>
    <w:rsid w:val="00453F11"/>
    <w:rsid w:val="00454483"/>
    <w:rsid w:val="00454E8E"/>
    <w:rsid w:val="00454EEA"/>
    <w:rsid w:val="004551C5"/>
    <w:rsid w:val="0045523A"/>
    <w:rsid w:val="00455A2D"/>
    <w:rsid w:val="00456101"/>
    <w:rsid w:val="004567BB"/>
    <w:rsid w:val="00456EF7"/>
    <w:rsid w:val="0046030C"/>
    <w:rsid w:val="00460953"/>
    <w:rsid w:val="00461065"/>
    <w:rsid w:val="004611A0"/>
    <w:rsid w:val="00461E07"/>
    <w:rsid w:val="00462CE8"/>
    <w:rsid w:val="00462E7E"/>
    <w:rsid w:val="00463C66"/>
    <w:rsid w:val="004679C4"/>
    <w:rsid w:val="00467FA2"/>
    <w:rsid w:val="004700F6"/>
    <w:rsid w:val="00470258"/>
    <w:rsid w:val="00470289"/>
    <w:rsid w:val="00471776"/>
    <w:rsid w:val="004727FC"/>
    <w:rsid w:val="00472C67"/>
    <w:rsid w:val="00472EC0"/>
    <w:rsid w:val="0047497B"/>
    <w:rsid w:val="004753D4"/>
    <w:rsid w:val="004761B6"/>
    <w:rsid w:val="004764A3"/>
    <w:rsid w:val="0047682A"/>
    <w:rsid w:val="00476C9A"/>
    <w:rsid w:val="0047759E"/>
    <w:rsid w:val="00477892"/>
    <w:rsid w:val="00481191"/>
    <w:rsid w:val="0048337F"/>
    <w:rsid w:val="004839C7"/>
    <w:rsid w:val="004846C7"/>
    <w:rsid w:val="00484AD9"/>
    <w:rsid w:val="00484F78"/>
    <w:rsid w:val="00485820"/>
    <w:rsid w:val="00485CB1"/>
    <w:rsid w:val="0048623D"/>
    <w:rsid w:val="00490255"/>
    <w:rsid w:val="00490C83"/>
    <w:rsid w:val="0049135F"/>
    <w:rsid w:val="004921F0"/>
    <w:rsid w:val="004923AA"/>
    <w:rsid w:val="00492494"/>
    <w:rsid w:val="004928B7"/>
    <w:rsid w:val="0049360F"/>
    <w:rsid w:val="00493876"/>
    <w:rsid w:val="0049395A"/>
    <w:rsid w:val="00493C5D"/>
    <w:rsid w:val="00494FB1"/>
    <w:rsid w:val="004955B5"/>
    <w:rsid w:val="00496AA6"/>
    <w:rsid w:val="00496C21"/>
    <w:rsid w:val="00496ED9"/>
    <w:rsid w:val="004970E7"/>
    <w:rsid w:val="004978F4"/>
    <w:rsid w:val="00497A9E"/>
    <w:rsid w:val="00497B52"/>
    <w:rsid w:val="004A1972"/>
    <w:rsid w:val="004A1E1B"/>
    <w:rsid w:val="004A2058"/>
    <w:rsid w:val="004A21BB"/>
    <w:rsid w:val="004A22E4"/>
    <w:rsid w:val="004A2699"/>
    <w:rsid w:val="004A2C9D"/>
    <w:rsid w:val="004A39DE"/>
    <w:rsid w:val="004A3B04"/>
    <w:rsid w:val="004A447E"/>
    <w:rsid w:val="004A5DD0"/>
    <w:rsid w:val="004B1256"/>
    <w:rsid w:val="004B12FC"/>
    <w:rsid w:val="004B18B0"/>
    <w:rsid w:val="004B1C81"/>
    <w:rsid w:val="004B52A9"/>
    <w:rsid w:val="004B6DE8"/>
    <w:rsid w:val="004B7E32"/>
    <w:rsid w:val="004C0E30"/>
    <w:rsid w:val="004C0EEB"/>
    <w:rsid w:val="004C12FD"/>
    <w:rsid w:val="004C1597"/>
    <w:rsid w:val="004C1E6A"/>
    <w:rsid w:val="004C2493"/>
    <w:rsid w:val="004C35A9"/>
    <w:rsid w:val="004C360B"/>
    <w:rsid w:val="004C3EDF"/>
    <w:rsid w:val="004C56D6"/>
    <w:rsid w:val="004C5D6E"/>
    <w:rsid w:val="004C5E01"/>
    <w:rsid w:val="004C5F59"/>
    <w:rsid w:val="004C6B5B"/>
    <w:rsid w:val="004C7E10"/>
    <w:rsid w:val="004D0E20"/>
    <w:rsid w:val="004D18EB"/>
    <w:rsid w:val="004D1A49"/>
    <w:rsid w:val="004D2005"/>
    <w:rsid w:val="004D32B1"/>
    <w:rsid w:val="004D445C"/>
    <w:rsid w:val="004D479D"/>
    <w:rsid w:val="004D53B2"/>
    <w:rsid w:val="004D6A89"/>
    <w:rsid w:val="004D6C72"/>
    <w:rsid w:val="004D76B6"/>
    <w:rsid w:val="004E16F6"/>
    <w:rsid w:val="004E21B0"/>
    <w:rsid w:val="004E2E49"/>
    <w:rsid w:val="004E36A3"/>
    <w:rsid w:val="004E381D"/>
    <w:rsid w:val="004E5B6B"/>
    <w:rsid w:val="004E6228"/>
    <w:rsid w:val="004E6566"/>
    <w:rsid w:val="004F08F9"/>
    <w:rsid w:val="004F092A"/>
    <w:rsid w:val="004F1728"/>
    <w:rsid w:val="004F1DEF"/>
    <w:rsid w:val="004F2D20"/>
    <w:rsid w:val="004F2EFB"/>
    <w:rsid w:val="004F4349"/>
    <w:rsid w:val="004F4909"/>
    <w:rsid w:val="004F55E2"/>
    <w:rsid w:val="004F5760"/>
    <w:rsid w:val="004F5CF2"/>
    <w:rsid w:val="004F71D2"/>
    <w:rsid w:val="004F7405"/>
    <w:rsid w:val="004F7476"/>
    <w:rsid w:val="004F7E06"/>
    <w:rsid w:val="0050023A"/>
    <w:rsid w:val="00500F5E"/>
    <w:rsid w:val="00501968"/>
    <w:rsid w:val="00503D91"/>
    <w:rsid w:val="00504DE6"/>
    <w:rsid w:val="00504E0F"/>
    <w:rsid w:val="00504FE6"/>
    <w:rsid w:val="00505896"/>
    <w:rsid w:val="00505C66"/>
    <w:rsid w:val="00507336"/>
    <w:rsid w:val="00507D84"/>
    <w:rsid w:val="005125D3"/>
    <w:rsid w:val="00512677"/>
    <w:rsid w:val="00512AAF"/>
    <w:rsid w:val="00512F61"/>
    <w:rsid w:val="005155AF"/>
    <w:rsid w:val="00517D9C"/>
    <w:rsid w:val="0052019C"/>
    <w:rsid w:val="00520455"/>
    <w:rsid w:val="00521815"/>
    <w:rsid w:val="00521972"/>
    <w:rsid w:val="00521E63"/>
    <w:rsid w:val="005222B6"/>
    <w:rsid w:val="00523B23"/>
    <w:rsid w:val="005240B9"/>
    <w:rsid w:val="0052459A"/>
    <w:rsid w:val="0052477D"/>
    <w:rsid w:val="005252A4"/>
    <w:rsid w:val="00525585"/>
    <w:rsid w:val="005262F8"/>
    <w:rsid w:val="005266F6"/>
    <w:rsid w:val="00530D2A"/>
    <w:rsid w:val="00531124"/>
    <w:rsid w:val="0053148E"/>
    <w:rsid w:val="00531D2D"/>
    <w:rsid w:val="00532DC1"/>
    <w:rsid w:val="00533E86"/>
    <w:rsid w:val="0053463D"/>
    <w:rsid w:val="00534EEA"/>
    <w:rsid w:val="005354AA"/>
    <w:rsid w:val="00535A36"/>
    <w:rsid w:val="00536712"/>
    <w:rsid w:val="005369C2"/>
    <w:rsid w:val="00536D38"/>
    <w:rsid w:val="00536F6D"/>
    <w:rsid w:val="00537274"/>
    <w:rsid w:val="0054072C"/>
    <w:rsid w:val="005408FF"/>
    <w:rsid w:val="0054114A"/>
    <w:rsid w:val="005419E9"/>
    <w:rsid w:val="00541BD9"/>
    <w:rsid w:val="00541C8C"/>
    <w:rsid w:val="005420D4"/>
    <w:rsid w:val="00542A8C"/>
    <w:rsid w:val="00542E60"/>
    <w:rsid w:val="00542F0C"/>
    <w:rsid w:val="005434AA"/>
    <w:rsid w:val="00544204"/>
    <w:rsid w:val="0054526A"/>
    <w:rsid w:val="0054702D"/>
    <w:rsid w:val="00547C1F"/>
    <w:rsid w:val="00547ECA"/>
    <w:rsid w:val="00551D32"/>
    <w:rsid w:val="00551D3E"/>
    <w:rsid w:val="00552350"/>
    <w:rsid w:val="005526F9"/>
    <w:rsid w:val="005527B6"/>
    <w:rsid w:val="005532DB"/>
    <w:rsid w:val="00553A0B"/>
    <w:rsid w:val="005540DE"/>
    <w:rsid w:val="00554B21"/>
    <w:rsid w:val="00555A3C"/>
    <w:rsid w:val="005577C6"/>
    <w:rsid w:val="005604DA"/>
    <w:rsid w:val="00561F64"/>
    <w:rsid w:val="005627AA"/>
    <w:rsid w:val="00562B54"/>
    <w:rsid w:val="00563D47"/>
    <w:rsid w:val="00563F99"/>
    <w:rsid w:val="00564601"/>
    <w:rsid w:val="00564DCD"/>
    <w:rsid w:val="00564F62"/>
    <w:rsid w:val="00567B13"/>
    <w:rsid w:val="00567B45"/>
    <w:rsid w:val="00570195"/>
    <w:rsid w:val="00570600"/>
    <w:rsid w:val="005709EF"/>
    <w:rsid w:val="005712C8"/>
    <w:rsid w:val="00571562"/>
    <w:rsid w:val="00572ABC"/>
    <w:rsid w:val="00574AC2"/>
    <w:rsid w:val="00575286"/>
    <w:rsid w:val="00576C97"/>
    <w:rsid w:val="005770B5"/>
    <w:rsid w:val="0057715E"/>
    <w:rsid w:val="00577233"/>
    <w:rsid w:val="00581C99"/>
    <w:rsid w:val="00582198"/>
    <w:rsid w:val="0058300C"/>
    <w:rsid w:val="00583872"/>
    <w:rsid w:val="00584F66"/>
    <w:rsid w:val="00586346"/>
    <w:rsid w:val="0058702E"/>
    <w:rsid w:val="005870A3"/>
    <w:rsid w:val="00587113"/>
    <w:rsid w:val="005875F1"/>
    <w:rsid w:val="00587B7C"/>
    <w:rsid w:val="00591434"/>
    <w:rsid w:val="00591803"/>
    <w:rsid w:val="005918BF"/>
    <w:rsid w:val="00591C59"/>
    <w:rsid w:val="00591E5C"/>
    <w:rsid w:val="00592349"/>
    <w:rsid w:val="005930DF"/>
    <w:rsid w:val="005931D4"/>
    <w:rsid w:val="005947DC"/>
    <w:rsid w:val="00595559"/>
    <w:rsid w:val="005962C3"/>
    <w:rsid w:val="00596F9E"/>
    <w:rsid w:val="0059705C"/>
    <w:rsid w:val="005974EA"/>
    <w:rsid w:val="005A0125"/>
    <w:rsid w:val="005A08AC"/>
    <w:rsid w:val="005A0F8F"/>
    <w:rsid w:val="005A11C0"/>
    <w:rsid w:val="005A1A4D"/>
    <w:rsid w:val="005A2219"/>
    <w:rsid w:val="005A259D"/>
    <w:rsid w:val="005A2776"/>
    <w:rsid w:val="005A29CC"/>
    <w:rsid w:val="005A307C"/>
    <w:rsid w:val="005A313A"/>
    <w:rsid w:val="005A3332"/>
    <w:rsid w:val="005A3CB9"/>
    <w:rsid w:val="005A45CC"/>
    <w:rsid w:val="005A4671"/>
    <w:rsid w:val="005A4F06"/>
    <w:rsid w:val="005A5025"/>
    <w:rsid w:val="005A58C3"/>
    <w:rsid w:val="005A5DD2"/>
    <w:rsid w:val="005A6786"/>
    <w:rsid w:val="005A67D8"/>
    <w:rsid w:val="005A6C2C"/>
    <w:rsid w:val="005B075B"/>
    <w:rsid w:val="005B0EB3"/>
    <w:rsid w:val="005B2D91"/>
    <w:rsid w:val="005B30BA"/>
    <w:rsid w:val="005B3A7D"/>
    <w:rsid w:val="005B411E"/>
    <w:rsid w:val="005B5969"/>
    <w:rsid w:val="005B6562"/>
    <w:rsid w:val="005B7D08"/>
    <w:rsid w:val="005C087C"/>
    <w:rsid w:val="005C1144"/>
    <w:rsid w:val="005C1C33"/>
    <w:rsid w:val="005C214F"/>
    <w:rsid w:val="005C2788"/>
    <w:rsid w:val="005C2C4F"/>
    <w:rsid w:val="005C31A8"/>
    <w:rsid w:val="005C522C"/>
    <w:rsid w:val="005C615F"/>
    <w:rsid w:val="005D0BAE"/>
    <w:rsid w:val="005D1342"/>
    <w:rsid w:val="005D1908"/>
    <w:rsid w:val="005D2ACE"/>
    <w:rsid w:val="005D2BA9"/>
    <w:rsid w:val="005D2C55"/>
    <w:rsid w:val="005D36DE"/>
    <w:rsid w:val="005D4B70"/>
    <w:rsid w:val="005D5D3B"/>
    <w:rsid w:val="005D6EE5"/>
    <w:rsid w:val="005D7621"/>
    <w:rsid w:val="005E1F55"/>
    <w:rsid w:val="005E21CF"/>
    <w:rsid w:val="005E3F52"/>
    <w:rsid w:val="005E4F07"/>
    <w:rsid w:val="005E59E0"/>
    <w:rsid w:val="005E77A8"/>
    <w:rsid w:val="005E7E93"/>
    <w:rsid w:val="005F006C"/>
    <w:rsid w:val="005F070B"/>
    <w:rsid w:val="005F080D"/>
    <w:rsid w:val="005F162C"/>
    <w:rsid w:val="005F17B6"/>
    <w:rsid w:val="005F2BAD"/>
    <w:rsid w:val="005F2C5D"/>
    <w:rsid w:val="005F2DB4"/>
    <w:rsid w:val="005F38EE"/>
    <w:rsid w:val="005F6110"/>
    <w:rsid w:val="005F623D"/>
    <w:rsid w:val="005F64CB"/>
    <w:rsid w:val="005F6B30"/>
    <w:rsid w:val="005F708D"/>
    <w:rsid w:val="005F7B75"/>
    <w:rsid w:val="00600821"/>
    <w:rsid w:val="00600E54"/>
    <w:rsid w:val="00601A96"/>
    <w:rsid w:val="00601C70"/>
    <w:rsid w:val="00602119"/>
    <w:rsid w:val="006023CB"/>
    <w:rsid w:val="0060241C"/>
    <w:rsid w:val="00602FC4"/>
    <w:rsid w:val="00603B4B"/>
    <w:rsid w:val="00605E14"/>
    <w:rsid w:val="00606084"/>
    <w:rsid w:val="006061DB"/>
    <w:rsid w:val="00606575"/>
    <w:rsid w:val="0060690B"/>
    <w:rsid w:val="00607738"/>
    <w:rsid w:val="00610241"/>
    <w:rsid w:val="006103BB"/>
    <w:rsid w:val="00610808"/>
    <w:rsid w:val="00610D3E"/>
    <w:rsid w:val="006111DD"/>
    <w:rsid w:val="006113AD"/>
    <w:rsid w:val="00611F33"/>
    <w:rsid w:val="0061290E"/>
    <w:rsid w:val="0061293C"/>
    <w:rsid w:val="00614F89"/>
    <w:rsid w:val="00614FE0"/>
    <w:rsid w:val="00616EBF"/>
    <w:rsid w:val="00617A3C"/>
    <w:rsid w:val="00620CB7"/>
    <w:rsid w:val="00624CA7"/>
    <w:rsid w:val="00624F2F"/>
    <w:rsid w:val="00625E3A"/>
    <w:rsid w:val="006264CD"/>
    <w:rsid w:val="00630440"/>
    <w:rsid w:val="006305F8"/>
    <w:rsid w:val="006313FC"/>
    <w:rsid w:val="0063227D"/>
    <w:rsid w:val="0063233F"/>
    <w:rsid w:val="00634DA7"/>
    <w:rsid w:val="00634DF1"/>
    <w:rsid w:val="006377DB"/>
    <w:rsid w:val="006427FB"/>
    <w:rsid w:val="00642982"/>
    <w:rsid w:val="00642CFD"/>
    <w:rsid w:val="00643B63"/>
    <w:rsid w:val="00644E50"/>
    <w:rsid w:val="006450A1"/>
    <w:rsid w:val="0064559F"/>
    <w:rsid w:val="006462A9"/>
    <w:rsid w:val="006471BF"/>
    <w:rsid w:val="00650254"/>
    <w:rsid w:val="00650ADD"/>
    <w:rsid w:val="0065230E"/>
    <w:rsid w:val="00653365"/>
    <w:rsid w:val="00653CC4"/>
    <w:rsid w:val="00653D8C"/>
    <w:rsid w:val="0065438A"/>
    <w:rsid w:val="006546BD"/>
    <w:rsid w:val="006547CE"/>
    <w:rsid w:val="00654995"/>
    <w:rsid w:val="00654BD3"/>
    <w:rsid w:val="00655EE7"/>
    <w:rsid w:val="00656357"/>
    <w:rsid w:val="00656674"/>
    <w:rsid w:val="006575BF"/>
    <w:rsid w:val="0066047C"/>
    <w:rsid w:val="00660634"/>
    <w:rsid w:val="0066081D"/>
    <w:rsid w:val="006610E8"/>
    <w:rsid w:val="00661141"/>
    <w:rsid w:val="006616BC"/>
    <w:rsid w:val="00662D2C"/>
    <w:rsid w:val="0066382B"/>
    <w:rsid w:val="00664040"/>
    <w:rsid w:val="00664291"/>
    <w:rsid w:val="006664B5"/>
    <w:rsid w:val="006668F3"/>
    <w:rsid w:val="00667756"/>
    <w:rsid w:val="0067030A"/>
    <w:rsid w:val="006703B0"/>
    <w:rsid w:val="006704F1"/>
    <w:rsid w:val="006714FE"/>
    <w:rsid w:val="00671AF8"/>
    <w:rsid w:val="00671E7A"/>
    <w:rsid w:val="00672EC4"/>
    <w:rsid w:val="00672FD2"/>
    <w:rsid w:val="006737C9"/>
    <w:rsid w:val="006737DA"/>
    <w:rsid w:val="00673BFD"/>
    <w:rsid w:val="00673F26"/>
    <w:rsid w:val="00674AE7"/>
    <w:rsid w:val="00675365"/>
    <w:rsid w:val="00676177"/>
    <w:rsid w:val="006763BC"/>
    <w:rsid w:val="00676825"/>
    <w:rsid w:val="006768CC"/>
    <w:rsid w:val="00677605"/>
    <w:rsid w:val="00677D7C"/>
    <w:rsid w:val="0068009C"/>
    <w:rsid w:val="006806EF"/>
    <w:rsid w:val="00681EEB"/>
    <w:rsid w:val="0068280A"/>
    <w:rsid w:val="00683031"/>
    <w:rsid w:val="0068652B"/>
    <w:rsid w:val="00686800"/>
    <w:rsid w:val="00686B26"/>
    <w:rsid w:val="006877C9"/>
    <w:rsid w:val="00687EDE"/>
    <w:rsid w:val="00687FBE"/>
    <w:rsid w:val="00690098"/>
    <w:rsid w:val="00690216"/>
    <w:rsid w:val="00690B29"/>
    <w:rsid w:val="006914F1"/>
    <w:rsid w:val="006917EE"/>
    <w:rsid w:val="00691B46"/>
    <w:rsid w:val="00691F9E"/>
    <w:rsid w:val="0069486F"/>
    <w:rsid w:val="00694C41"/>
    <w:rsid w:val="006955B2"/>
    <w:rsid w:val="00695A47"/>
    <w:rsid w:val="00695AB9"/>
    <w:rsid w:val="00695AFA"/>
    <w:rsid w:val="006960CC"/>
    <w:rsid w:val="00696C6C"/>
    <w:rsid w:val="00697390"/>
    <w:rsid w:val="006A0306"/>
    <w:rsid w:val="006A041A"/>
    <w:rsid w:val="006A1085"/>
    <w:rsid w:val="006A1260"/>
    <w:rsid w:val="006A204A"/>
    <w:rsid w:val="006A36AB"/>
    <w:rsid w:val="006A3836"/>
    <w:rsid w:val="006A4AD2"/>
    <w:rsid w:val="006A540A"/>
    <w:rsid w:val="006A5977"/>
    <w:rsid w:val="006A5AEA"/>
    <w:rsid w:val="006A5BBE"/>
    <w:rsid w:val="006A6ACB"/>
    <w:rsid w:val="006A78D0"/>
    <w:rsid w:val="006B0234"/>
    <w:rsid w:val="006B069D"/>
    <w:rsid w:val="006B1181"/>
    <w:rsid w:val="006B1A51"/>
    <w:rsid w:val="006B20E8"/>
    <w:rsid w:val="006B2B96"/>
    <w:rsid w:val="006B3841"/>
    <w:rsid w:val="006B3C74"/>
    <w:rsid w:val="006B6078"/>
    <w:rsid w:val="006B6086"/>
    <w:rsid w:val="006B6C90"/>
    <w:rsid w:val="006B6E52"/>
    <w:rsid w:val="006B76F0"/>
    <w:rsid w:val="006B7D43"/>
    <w:rsid w:val="006C0035"/>
    <w:rsid w:val="006C04FF"/>
    <w:rsid w:val="006C05ED"/>
    <w:rsid w:val="006C1363"/>
    <w:rsid w:val="006C15A9"/>
    <w:rsid w:val="006C15FA"/>
    <w:rsid w:val="006C186B"/>
    <w:rsid w:val="006C1AFB"/>
    <w:rsid w:val="006C1C3C"/>
    <w:rsid w:val="006C1C67"/>
    <w:rsid w:val="006C2868"/>
    <w:rsid w:val="006C4031"/>
    <w:rsid w:val="006C41CB"/>
    <w:rsid w:val="006C4513"/>
    <w:rsid w:val="006C48A7"/>
    <w:rsid w:val="006C4909"/>
    <w:rsid w:val="006C4DCF"/>
    <w:rsid w:val="006C510C"/>
    <w:rsid w:val="006C5161"/>
    <w:rsid w:val="006C5372"/>
    <w:rsid w:val="006C5F41"/>
    <w:rsid w:val="006C603F"/>
    <w:rsid w:val="006C64BD"/>
    <w:rsid w:val="006C668B"/>
    <w:rsid w:val="006C6D2E"/>
    <w:rsid w:val="006C6EB8"/>
    <w:rsid w:val="006C70CA"/>
    <w:rsid w:val="006C714C"/>
    <w:rsid w:val="006D05FD"/>
    <w:rsid w:val="006D066C"/>
    <w:rsid w:val="006D1168"/>
    <w:rsid w:val="006D1225"/>
    <w:rsid w:val="006D1B36"/>
    <w:rsid w:val="006D22CD"/>
    <w:rsid w:val="006D23E5"/>
    <w:rsid w:val="006D2C0C"/>
    <w:rsid w:val="006D42CF"/>
    <w:rsid w:val="006D5DDC"/>
    <w:rsid w:val="006D6236"/>
    <w:rsid w:val="006D67AC"/>
    <w:rsid w:val="006D767C"/>
    <w:rsid w:val="006D76D4"/>
    <w:rsid w:val="006D798B"/>
    <w:rsid w:val="006D79A6"/>
    <w:rsid w:val="006E01D0"/>
    <w:rsid w:val="006E0695"/>
    <w:rsid w:val="006E091D"/>
    <w:rsid w:val="006E0C01"/>
    <w:rsid w:val="006E1376"/>
    <w:rsid w:val="006E1BB6"/>
    <w:rsid w:val="006E3549"/>
    <w:rsid w:val="006E3AFE"/>
    <w:rsid w:val="006E3EF0"/>
    <w:rsid w:val="006E5415"/>
    <w:rsid w:val="006E56D5"/>
    <w:rsid w:val="006E5799"/>
    <w:rsid w:val="006E5870"/>
    <w:rsid w:val="006E5E26"/>
    <w:rsid w:val="006E6213"/>
    <w:rsid w:val="006F02D3"/>
    <w:rsid w:val="006F0DA0"/>
    <w:rsid w:val="006F2D61"/>
    <w:rsid w:val="006F316C"/>
    <w:rsid w:val="006F37F9"/>
    <w:rsid w:val="006F3CBE"/>
    <w:rsid w:val="006F5734"/>
    <w:rsid w:val="006F698D"/>
    <w:rsid w:val="006F6DB0"/>
    <w:rsid w:val="006F75F0"/>
    <w:rsid w:val="006F7B85"/>
    <w:rsid w:val="007002DF"/>
    <w:rsid w:val="0070043E"/>
    <w:rsid w:val="00701103"/>
    <w:rsid w:val="00701394"/>
    <w:rsid w:val="00701A70"/>
    <w:rsid w:val="00701F9E"/>
    <w:rsid w:val="007027D8"/>
    <w:rsid w:val="00702FA5"/>
    <w:rsid w:val="00703711"/>
    <w:rsid w:val="00703851"/>
    <w:rsid w:val="007041FA"/>
    <w:rsid w:val="00704599"/>
    <w:rsid w:val="00704F5B"/>
    <w:rsid w:val="007058E5"/>
    <w:rsid w:val="007062A2"/>
    <w:rsid w:val="00706AF8"/>
    <w:rsid w:val="007078CA"/>
    <w:rsid w:val="00710CF9"/>
    <w:rsid w:val="00712D7B"/>
    <w:rsid w:val="00713668"/>
    <w:rsid w:val="0071565A"/>
    <w:rsid w:val="00716724"/>
    <w:rsid w:val="00716F9A"/>
    <w:rsid w:val="00717A84"/>
    <w:rsid w:val="00720C78"/>
    <w:rsid w:val="00723E68"/>
    <w:rsid w:val="00723F2C"/>
    <w:rsid w:val="007241DD"/>
    <w:rsid w:val="007243AF"/>
    <w:rsid w:val="00724821"/>
    <w:rsid w:val="00724EC8"/>
    <w:rsid w:val="007307E5"/>
    <w:rsid w:val="0073331D"/>
    <w:rsid w:val="0073360C"/>
    <w:rsid w:val="00733899"/>
    <w:rsid w:val="00733F5A"/>
    <w:rsid w:val="0073593B"/>
    <w:rsid w:val="00735AA1"/>
    <w:rsid w:val="00735FA4"/>
    <w:rsid w:val="007362D9"/>
    <w:rsid w:val="00736557"/>
    <w:rsid w:val="007376D7"/>
    <w:rsid w:val="0074096D"/>
    <w:rsid w:val="00742646"/>
    <w:rsid w:val="0074310D"/>
    <w:rsid w:val="007434AB"/>
    <w:rsid w:val="00743F84"/>
    <w:rsid w:val="00743FC9"/>
    <w:rsid w:val="00744973"/>
    <w:rsid w:val="007460A2"/>
    <w:rsid w:val="007462E1"/>
    <w:rsid w:val="007469C1"/>
    <w:rsid w:val="00746AFC"/>
    <w:rsid w:val="00750139"/>
    <w:rsid w:val="00751E82"/>
    <w:rsid w:val="007527F9"/>
    <w:rsid w:val="00752DAF"/>
    <w:rsid w:val="0075371B"/>
    <w:rsid w:val="00753EBD"/>
    <w:rsid w:val="00753EF6"/>
    <w:rsid w:val="00754289"/>
    <w:rsid w:val="00754EE8"/>
    <w:rsid w:val="00755BBC"/>
    <w:rsid w:val="007567B8"/>
    <w:rsid w:val="00756BF0"/>
    <w:rsid w:val="00756FDA"/>
    <w:rsid w:val="00760772"/>
    <w:rsid w:val="007618EE"/>
    <w:rsid w:val="007619D4"/>
    <w:rsid w:val="00761A4D"/>
    <w:rsid w:val="007629B3"/>
    <w:rsid w:val="00762F85"/>
    <w:rsid w:val="00763979"/>
    <w:rsid w:val="00764AE3"/>
    <w:rsid w:val="00765C50"/>
    <w:rsid w:val="00766164"/>
    <w:rsid w:val="00767227"/>
    <w:rsid w:val="00770B68"/>
    <w:rsid w:val="00771331"/>
    <w:rsid w:val="007729DB"/>
    <w:rsid w:val="00772A40"/>
    <w:rsid w:val="00774002"/>
    <w:rsid w:val="00774060"/>
    <w:rsid w:val="007740A4"/>
    <w:rsid w:val="007741D3"/>
    <w:rsid w:val="007744D4"/>
    <w:rsid w:val="00774568"/>
    <w:rsid w:val="00774B9C"/>
    <w:rsid w:val="00774EE6"/>
    <w:rsid w:val="00775AC4"/>
    <w:rsid w:val="00775C25"/>
    <w:rsid w:val="00775C8A"/>
    <w:rsid w:val="007761DA"/>
    <w:rsid w:val="00776A7C"/>
    <w:rsid w:val="00776E1F"/>
    <w:rsid w:val="00776EC9"/>
    <w:rsid w:val="00777D68"/>
    <w:rsid w:val="007806D4"/>
    <w:rsid w:val="00780B0C"/>
    <w:rsid w:val="00781044"/>
    <w:rsid w:val="007816E0"/>
    <w:rsid w:val="0078206D"/>
    <w:rsid w:val="007820F7"/>
    <w:rsid w:val="00782427"/>
    <w:rsid w:val="00783439"/>
    <w:rsid w:val="0078455C"/>
    <w:rsid w:val="00785079"/>
    <w:rsid w:val="00785286"/>
    <w:rsid w:val="007854E6"/>
    <w:rsid w:val="007855AC"/>
    <w:rsid w:val="00785A78"/>
    <w:rsid w:val="00785CB5"/>
    <w:rsid w:val="00785F32"/>
    <w:rsid w:val="00787FA0"/>
    <w:rsid w:val="0079057A"/>
    <w:rsid w:val="00790C47"/>
    <w:rsid w:val="00791117"/>
    <w:rsid w:val="00792207"/>
    <w:rsid w:val="00792864"/>
    <w:rsid w:val="007929C0"/>
    <w:rsid w:val="007937DF"/>
    <w:rsid w:val="0079454A"/>
    <w:rsid w:val="00795431"/>
    <w:rsid w:val="0079579E"/>
    <w:rsid w:val="00796491"/>
    <w:rsid w:val="007A08BD"/>
    <w:rsid w:val="007A1AB4"/>
    <w:rsid w:val="007A2139"/>
    <w:rsid w:val="007A34F3"/>
    <w:rsid w:val="007A3ECF"/>
    <w:rsid w:val="007A5264"/>
    <w:rsid w:val="007A5B83"/>
    <w:rsid w:val="007A5C96"/>
    <w:rsid w:val="007A6E8B"/>
    <w:rsid w:val="007A70ED"/>
    <w:rsid w:val="007A75A6"/>
    <w:rsid w:val="007A7FDF"/>
    <w:rsid w:val="007B0F94"/>
    <w:rsid w:val="007B1AE6"/>
    <w:rsid w:val="007B2DDE"/>
    <w:rsid w:val="007B3069"/>
    <w:rsid w:val="007B3E1C"/>
    <w:rsid w:val="007B530B"/>
    <w:rsid w:val="007B6376"/>
    <w:rsid w:val="007B7A09"/>
    <w:rsid w:val="007B7DFF"/>
    <w:rsid w:val="007B7E9C"/>
    <w:rsid w:val="007C01B0"/>
    <w:rsid w:val="007C0C4F"/>
    <w:rsid w:val="007C2073"/>
    <w:rsid w:val="007C29C5"/>
    <w:rsid w:val="007C3E68"/>
    <w:rsid w:val="007C4321"/>
    <w:rsid w:val="007C57BD"/>
    <w:rsid w:val="007C6AE0"/>
    <w:rsid w:val="007C6D5B"/>
    <w:rsid w:val="007D0CEE"/>
    <w:rsid w:val="007D1616"/>
    <w:rsid w:val="007D27F0"/>
    <w:rsid w:val="007D2E4B"/>
    <w:rsid w:val="007D3B51"/>
    <w:rsid w:val="007D42E8"/>
    <w:rsid w:val="007D5B3C"/>
    <w:rsid w:val="007D5E3C"/>
    <w:rsid w:val="007D61C5"/>
    <w:rsid w:val="007D7EE5"/>
    <w:rsid w:val="007E15D1"/>
    <w:rsid w:val="007E1D16"/>
    <w:rsid w:val="007E23F0"/>
    <w:rsid w:val="007E34C8"/>
    <w:rsid w:val="007E3584"/>
    <w:rsid w:val="007E3696"/>
    <w:rsid w:val="007E5B14"/>
    <w:rsid w:val="007E61F7"/>
    <w:rsid w:val="007E71AF"/>
    <w:rsid w:val="007E7704"/>
    <w:rsid w:val="007E7EA1"/>
    <w:rsid w:val="007F0DBF"/>
    <w:rsid w:val="007F1A95"/>
    <w:rsid w:val="007F28F9"/>
    <w:rsid w:val="007F31FC"/>
    <w:rsid w:val="007F370D"/>
    <w:rsid w:val="007F3EB9"/>
    <w:rsid w:val="007F4084"/>
    <w:rsid w:val="007F4831"/>
    <w:rsid w:val="007F4D52"/>
    <w:rsid w:val="007F4DE3"/>
    <w:rsid w:val="007F4E2A"/>
    <w:rsid w:val="007F6D81"/>
    <w:rsid w:val="007F7B65"/>
    <w:rsid w:val="0080016C"/>
    <w:rsid w:val="008001B0"/>
    <w:rsid w:val="00800E2D"/>
    <w:rsid w:val="008013A0"/>
    <w:rsid w:val="008015BF"/>
    <w:rsid w:val="00803D98"/>
    <w:rsid w:val="00804C08"/>
    <w:rsid w:val="00805C91"/>
    <w:rsid w:val="008061C1"/>
    <w:rsid w:val="00806397"/>
    <w:rsid w:val="00806846"/>
    <w:rsid w:val="0080724A"/>
    <w:rsid w:val="00807FAB"/>
    <w:rsid w:val="00811E0A"/>
    <w:rsid w:val="00811E72"/>
    <w:rsid w:val="008143E1"/>
    <w:rsid w:val="008169EF"/>
    <w:rsid w:val="00816D7F"/>
    <w:rsid w:val="00817153"/>
    <w:rsid w:val="00817864"/>
    <w:rsid w:val="00817BC6"/>
    <w:rsid w:val="0082091E"/>
    <w:rsid w:val="00821540"/>
    <w:rsid w:val="0082250A"/>
    <w:rsid w:val="00822B6A"/>
    <w:rsid w:val="00822D43"/>
    <w:rsid w:val="00822F66"/>
    <w:rsid w:val="00823BF5"/>
    <w:rsid w:val="0082438B"/>
    <w:rsid w:val="00824C2D"/>
    <w:rsid w:val="00825622"/>
    <w:rsid w:val="0082591B"/>
    <w:rsid w:val="00826041"/>
    <w:rsid w:val="00826CED"/>
    <w:rsid w:val="00827983"/>
    <w:rsid w:val="00827F1D"/>
    <w:rsid w:val="00830C16"/>
    <w:rsid w:val="008316D7"/>
    <w:rsid w:val="008317C0"/>
    <w:rsid w:val="008319BB"/>
    <w:rsid w:val="00831BB4"/>
    <w:rsid w:val="008324AF"/>
    <w:rsid w:val="00832D72"/>
    <w:rsid w:val="0083340D"/>
    <w:rsid w:val="008341C6"/>
    <w:rsid w:val="00834666"/>
    <w:rsid w:val="00834A20"/>
    <w:rsid w:val="0083672C"/>
    <w:rsid w:val="008400F7"/>
    <w:rsid w:val="00840296"/>
    <w:rsid w:val="00840ABD"/>
    <w:rsid w:val="008417DB"/>
    <w:rsid w:val="0084236B"/>
    <w:rsid w:val="00842974"/>
    <w:rsid w:val="00843155"/>
    <w:rsid w:val="00843244"/>
    <w:rsid w:val="00844CB0"/>
    <w:rsid w:val="008460DB"/>
    <w:rsid w:val="00847008"/>
    <w:rsid w:val="008475E2"/>
    <w:rsid w:val="00847EE5"/>
    <w:rsid w:val="00852668"/>
    <w:rsid w:val="00852B32"/>
    <w:rsid w:val="00853427"/>
    <w:rsid w:val="00853449"/>
    <w:rsid w:val="008543A3"/>
    <w:rsid w:val="00854519"/>
    <w:rsid w:val="00854BC7"/>
    <w:rsid w:val="0085625B"/>
    <w:rsid w:val="00856526"/>
    <w:rsid w:val="0085735A"/>
    <w:rsid w:val="00857D3C"/>
    <w:rsid w:val="008605AE"/>
    <w:rsid w:val="0086121A"/>
    <w:rsid w:val="00863348"/>
    <w:rsid w:val="00864266"/>
    <w:rsid w:val="00864711"/>
    <w:rsid w:val="00864F89"/>
    <w:rsid w:val="00865AAE"/>
    <w:rsid w:val="00866263"/>
    <w:rsid w:val="00866CD4"/>
    <w:rsid w:val="0086747B"/>
    <w:rsid w:val="00867921"/>
    <w:rsid w:val="008700C1"/>
    <w:rsid w:val="008710B1"/>
    <w:rsid w:val="00871C23"/>
    <w:rsid w:val="00872104"/>
    <w:rsid w:val="008726BC"/>
    <w:rsid w:val="0087324A"/>
    <w:rsid w:val="0087330C"/>
    <w:rsid w:val="008748A1"/>
    <w:rsid w:val="00874990"/>
    <w:rsid w:val="00874E92"/>
    <w:rsid w:val="00881303"/>
    <w:rsid w:val="0088176F"/>
    <w:rsid w:val="00881FBC"/>
    <w:rsid w:val="00883B43"/>
    <w:rsid w:val="008841C3"/>
    <w:rsid w:val="0088469B"/>
    <w:rsid w:val="00884C93"/>
    <w:rsid w:val="00884D25"/>
    <w:rsid w:val="0088533A"/>
    <w:rsid w:val="00886272"/>
    <w:rsid w:val="0088677E"/>
    <w:rsid w:val="008870A0"/>
    <w:rsid w:val="00887E6D"/>
    <w:rsid w:val="00887FDC"/>
    <w:rsid w:val="008902BB"/>
    <w:rsid w:val="00890EE2"/>
    <w:rsid w:val="00891950"/>
    <w:rsid w:val="00891970"/>
    <w:rsid w:val="008920FC"/>
    <w:rsid w:val="00894013"/>
    <w:rsid w:val="0089451E"/>
    <w:rsid w:val="008945A2"/>
    <w:rsid w:val="008956A4"/>
    <w:rsid w:val="00895D94"/>
    <w:rsid w:val="00896061"/>
    <w:rsid w:val="00896984"/>
    <w:rsid w:val="008972EE"/>
    <w:rsid w:val="0089756B"/>
    <w:rsid w:val="008A0647"/>
    <w:rsid w:val="008A1447"/>
    <w:rsid w:val="008A2768"/>
    <w:rsid w:val="008A4A78"/>
    <w:rsid w:val="008A4FFB"/>
    <w:rsid w:val="008A514F"/>
    <w:rsid w:val="008A608E"/>
    <w:rsid w:val="008A63D7"/>
    <w:rsid w:val="008A677C"/>
    <w:rsid w:val="008A6ED9"/>
    <w:rsid w:val="008A6F31"/>
    <w:rsid w:val="008A78E3"/>
    <w:rsid w:val="008B0604"/>
    <w:rsid w:val="008B179E"/>
    <w:rsid w:val="008B1AEE"/>
    <w:rsid w:val="008B2084"/>
    <w:rsid w:val="008B2288"/>
    <w:rsid w:val="008B2292"/>
    <w:rsid w:val="008B27D9"/>
    <w:rsid w:val="008B3A14"/>
    <w:rsid w:val="008B3AC4"/>
    <w:rsid w:val="008B4C16"/>
    <w:rsid w:val="008B4C54"/>
    <w:rsid w:val="008B52E0"/>
    <w:rsid w:val="008B5C57"/>
    <w:rsid w:val="008B63AC"/>
    <w:rsid w:val="008B7ADA"/>
    <w:rsid w:val="008C03BE"/>
    <w:rsid w:val="008C0A1D"/>
    <w:rsid w:val="008C240C"/>
    <w:rsid w:val="008C2AFE"/>
    <w:rsid w:val="008C3FA7"/>
    <w:rsid w:val="008C47EB"/>
    <w:rsid w:val="008C5E0C"/>
    <w:rsid w:val="008C6C85"/>
    <w:rsid w:val="008C725A"/>
    <w:rsid w:val="008C7665"/>
    <w:rsid w:val="008C796F"/>
    <w:rsid w:val="008D19BC"/>
    <w:rsid w:val="008D1AC1"/>
    <w:rsid w:val="008D2912"/>
    <w:rsid w:val="008D3A91"/>
    <w:rsid w:val="008D3AF3"/>
    <w:rsid w:val="008D5C86"/>
    <w:rsid w:val="008D6A97"/>
    <w:rsid w:val="008D7FEC"/>
    <w:rsid w:val="008E036C"/>
    <w:rsid w:val="008E151F"/>
    <w:rsid w:val="008E190C"/>
    <w:rsid w:val="008E1AC8"/>
    <w:rsid w:val="008E22FE"/>
    <w:rsid w:val="008E2EDD"/>
    <w:rsid w:val="008E303C"/>
    <w:rsid w:val="008E3F7B"/>
    <w:rsid w:val="008E5AD0"/>
    <w:rsid w:val="008E7579"/>
    <w:rsid w:val="008E75F9"/>
    <w:rsid w:val="008F041D"/>
    <w:rsid w:val="008F0921"/>
    <w:rsid w:val="008F0D5F"/>
    <w:rsid w:val="008F1A0E"/>
    <w:rsid w:val="008F233E"/>
    <w:rsid w:val="008F2536"/>
    <w:rsid w:val="008F2982"/>
    <w:rsid w:val="008F2A74"/>
    <w:rsid w:val="008F3EEF"/>
    <w:rsid w:val="008F47C5"/>
    <w:rsid w:val="008F4BF7"/>
    <w:rsid w:val="008F5327"/>
    <w:rsid w:val="008F598C"/>
    <w:rsid w:val="008F7C9B"/>
    <w:rsid w:val="00900459"/>
    <w:rsid w:val="009015BC"/>
    <w:rsid w:val="00901969"/>
    <w:rsid w:val="009020F3"/>
    <w:rsid w:val="00904928"/>
    <w:rsid w:val="0090542D"/>
    <w:rsid w:val="009057F3"/>
    <w:rsid w:val="00905FAE"/>
    <w:rsid w:val="009065E4"/>
    <w:rsid w:val="00907419"/>
    <w:rsid w:val="009104AF"/>
    <w:rsid w:val="00910C09"/>
    <w:rsid w:val="009118A0"/>
    <w:rsid w:val="00911C4D"/>
    <w:rsid w:val="00912E70"/>
    <w:rsid w:val="009136CE"/>
    <w:rsid w:val="00913AF1"/>
    <w:rsid w:val="00915D51"/>
    <w:rsid w:val="00915EF5"/>
    <w:rsid w:val="00916EBE"/>
    <w:rsid w:val="00917300"/>
    <w:rsid w:val="00917680"/>
    <w:rsid w:val="00920FE5"/>
    <w:rsid w:val="00922798"/>
    <w:rsid w:val="009231FD"/>
    <w:rsid w:val="00923276"/>
    <w:rsid w:val="00923580"/>
    <w:rsid w:val="00924BD2"/>
    <w:rsid w:val="00924DE9"/>
    <w:rsid w:val="00925057"/>
    <w:rsid w:val="00925F11"/>
    <w:rsid w:val="00926352"/>
    <w:rsid w:val="009263C6"/>
    <w:rsid w:val="009265B6"/>
    <w:rsid w:val="009268CF"/>
    <w:rsid w:val="00926FA6"/>
    <w:rsid w:val="00927087"/>
    <w:rsid w:val="00927B6A"/>
    <w:rsid w:val="0093085A"/>
    <w:rsid w:val="00931278"/>
    <w:rsid w:val="0093152B"/>
    <w:rsid w:val="0093194D"/>
    <w:rsid w:val="009337BB"/>
    <w:rsid w:val="00933906"/>
    <w:rsid w:val="0093486F"/>
    <w:rsid w:val="00935871"/>
    <w:rsid w:val="00935AEA"/>
    <w:rsid w:val="00935F18"/>
    <w:rsid w:val="00936188"/>
    <w:rsid w:val="00937020"/>
    <w:rsid w:val="009373B4"/>
    <w:rsid w:val="00937E84"/>
    <w:rsid w:val="00940350"/>
    <w:rsid w:val="0094260D"/>
    <w:rsid w:val="00943EA9"/>
    <w:rsid w:val="00944F32"/>
    <w:rsid w:val="009467CE"/>
    <w:rsid w:val="0094771F"/>
    <w:rsid w:val="00947BAB"/>
    <w:rsid w:val="00950B49"/>
    <w:rsid w:val="009515F7"/>
    <w:rsid w:val="00952534"/>
    <w:rsid w:val="009528AE"/>
    <w:rsid w:val="009538D0"/>
    <w:rsid w:val="009538E9"/>
    <w:rsid w:val="00953D1D"/>
    <w:rsid w:val="00954051"/>
    <w:rsid w:val="00954092"/>
    <w:rsid w:val="00955D27"/>
    <w:rsid w:val="0095626B"/>
    <w:rsid w:val="0095769E"/>
    <w:rsid w:val="00957A45"/>
    <w:rsid w:val="00957E0B"/>
    <w:rsid w:val="00961425"/>
    <w:rsid w:val="0096174C"/>
    <w:rsid w:val="009623EA"/>
    <w:rsid w:val="009637B9"/>
    <w:rsid w:val="0096408B"/>
    <w:rsid w:val="00964874"/>
    <w:rsid w:val="009654F5"/>
    <w:rsid w:val="0096574C"/>
    <w:rsid w:val="00965A59"/>
    <w:rsid w:val="00966652"/>
    <w:rsid w:val="00966C49"/>
    <w:rsid w:val="00967BEA"/>
    <w:rsid w:val="0097101A"/>
    <w:rsid w:val="00971554"/>
    <w:rsid w:val="00972083"/>
    <w:rsid w:val="00973A47"/>
    <w:rsid w:val="00973E37"/>
    <w:rsid w:val="00976E5F"/>
    <w:rsid w:val="009773E5"/>
    <w:rsid w:val="00977D72"/>
    <w:rsid w:val="0098038B"/>
    <w:rsid w:val="0098065A"/>
    <w:rsid w:val="0098116F"/>
    <w:rsid w:val="009813EB"/>
    <w:rsid w:val="009839C1"/>
    <w:rsid w:val="00984E27"/>
    <w:rsid w:val="00985F92"/>
    <w:rsid w:val="00985FBC"/>
    <w:rsid w:val="0099063B"/>
    <w:rsid w:val="009908E2"/>
    <w:rsid w:val="00990B78"/>
    <w:rsid w:val="0099302B"/>
    <w:rsid w:val="00993D74"/>
    <w:rsid w:val="00993DBF"/>
    <w:rsid w:val="00994AD6"/>
    <w:rsid w:val="00994DB8"/>
    <w:rsid w:val="00994E86"/>
    <w:rsid w:val="0099530E"/>
    <w:rsid w:val="00995BCF"/>
    <w:rsid w:val="009966EA"/>
    <w:rsid w:val="00997795"/>
    <w:rsid w:val="00997D5D"/>
    <w:rsid w:val="00997FB3"/>
    <w:rsid w:val="009A02EC"/>
    <w:rsid w:val="009A04D0"/>
    <w:rsid w:val="009A064B"/>
    <w:rsid w:val="009A084E"/>
    <w:rsid w:val="009A18EE"/>
    <w:rsid w:val="009A266C"/>
    <w:rsid w:val="009A36AE"/>
    <w:rsid w:val="009A3BB0"/>
    <w:rsid w:val="009A3DDA"/>
    <w:rsid w:val="009A4465"/>
    <w:rsid w:val="009A456B"/>
    <w:rsid w:val="009A4AA8"/>
    <w:rsid w:val="009A5847"/>
    <w:rsid w:val="009A5FE0"/>
    <w:rsid w:val="009A61D1"/>
    <w:rsid w:val="009A65F9"/>
    <w:rsid w:val="009A69B9"/>
    <w:rsid w:val="009B0319"/>
    <w:rsid w:val="009B1961"/>
    <w:rsid w:val="009B3134"/>
    <w:rsid w:val="009B3946"/>
    <w:rsid w:val="009B3999"/>
    <w:rsid w:val="009B4AF0"/>
    <w:rsid w:val="009B517F"/>
    <w:rsid w:val="009B5DFC"/>
    <w:rsid w:val="009B63BC"/>
    <w:rsid w:val="009B6A13"/>
    <w:rsid w:val="009B7660"/>
    <w:rsid w:val="009B786C"/>
    <w:rsid w:val="009B7D8D"/>
    <w:rsid w:val="009C0AB3"/>
    <w:rsid w:val="009C0DC8"/>
    <w:rsid w:val="009C108F"/>
    <w:rsid w:val="009C14B1"/>
    <w:rsid w:val="009C1986"/>
    <w:rsid w:val="009C1BAD"/>
    <w:rsid w:val="009C1ECD"/>
    <w:rsid w:val="009C3DFB"/>
    <w:rsid w:val="009C3E13"/>
    <w:rsid w:val="009C4B3F"/>
    <w:rsid w:val="009C5A6F"/>
    <w:rsid w:val="009C5BC5"/>
    <w:rsid w:val="009C5FD1"/>
    <w:rsid w:val="009C6318"/>
    <w:rsid w:val="009C69FA"/>
    <w:rsid w:val="009C7D4B"/>
    <w:rsid w:val="009D293B"/>
    <w:rsid w:val="009D31F7"/>
    <w:rsid w:val="009D3898"/>
    <w:rsid w:val="009D3924"/>
    <w:rsid w:val="009D3ED4"/>
    <w:rsid w:val="009D40E4"/>
    <w:rsid w:val="009D6692"/>
    <w:rsid w:val="009D6950"/>
    <w:rsid w:val="009D6C94"/>
    <w:rsid w:val="009E3358"/>
    <w:rsid w:val="009E3462"/>
    <w:rsid w:val="009E3527"/>
    <w:rsid w:val="009E37B1"/>
    <w:rsid w:val="009E3C38"/>
    <w:rsid w:val="009E5D06"/>
    <w:rsid w:val="009E6397"/>
    <w:rsid w:val="009E6809"/>
    <w:rsid w:val="009E686F"/>
    <w:rsid w:val="009E6DDA"/>
    <w:rsid w:val="009E73A4"/>
    <w:rsid w:val="009E7A91"/>
    <w:rsid w:val="009F2129"/>
    <w:rsid w:val="009F2199"/>
    <w:rsid w:val="009F30FE"/>
    <w:rsid w:val="009F3334"/>
    <w:rsid w:val="009F5259"/>
    <w:rsid w:val="009F5324"/>
    <w:rsid w:val="009F5DF7"/>
    <w:rsid w:val="009F5E9B"/>
    <w:rsid w:val="009F6FDD"/>
    <w:rsid w:val="009F7EB4"/>
    <w:rsid w:val="00A0051A"/>
    <w:rsid w:val="00A0053A"/>
    <w:rsid w:val="00A01466"/>
    <w:rsid w:val="00A014D2"/>
    <w:rsid w:val="00A01977"/>
    <w:rsid w:val="00A024F5"/>
    <w:rsid w:val="00A02710"/>
    <w:rsid w:val="00A029F1"/>
    <w:rsid w:val="00A02C02"/>
    <w:rsid w:val="00A03618"/>
    <w:rsid w:val="00A03B98"/>
    <w:rsid w:val="00A03CB9"/>
    <w:rsid w:val="00A05908"/>
    <w:rsid w:val="00A075A2"/>
    <w:rsid w:val="00A1089F"/>
    <w:rsid w:val="00A12CAB"/>
    <w:rsid w:val="00A1320D"/>
    <w:rsid w:val="00A147F9"/>
    <w:rsid w:val="00A14FFE"/>
    <w:rsid w:val="00A15D02"/>
    <w:rsid w:val="00A21208"/>
    <w:rsid w:val="00A21379"/>
    <w:rsid w:val="00A21ADC"/>
    <w:rsid w:val="00A2286F"/>
    <w:rsid w:val="00A22BB6"/>
    <w:rsid w:val="00A23910"/>
    <w:rsid w:val="00A250A8"/>
    <w:rsid w:val="00A27017"/>
    <w:rsid w:val="00A27EC9"/>
    <w:rsid w:val="00A30302"/>
    <w:rsid w:val="00A3105A"/>
    <w:rsid w:val="00A314AC"/>
    <w:rsid w:val="00A31980"/>
    <w:rsid w:val="00A321A9"/>
    <w:rsid w:val="00A3228D"/>
    <w:rsid w:val="00A32A53"/>
    <w:rsid w:val="00A335C3"/>
    <w:rsid w:val="00A34BBF"/>
    <w:rsid w:val="00A376F1"/>
    <w:rsid w:val="00A40087"/>
    <w:rsid w:val="00A40615"/>
    <w:rsid w:val="00A410F8"/>
    <w:rsid w:val="00A4238F"/>
    <w:rsid w:val="00A424FC"/>
    <w:rsid w:val="00A4285E"/>
    <w:rsid w:val="00A44662"/>
    <w:rsid w:val="00A449A4"/>
    <w:rsid w:val="00A45672"/>
    <w:rsid w:val="00A45764"/>
    <w:rsid w:val="00A4638E"/>
    <w:rsid w:val="00A475AC"/>
    <w:rsid w:val="00A479CD"/>
    <w:rsid w:val="00A519FF"/>
    <w:rsid w:val="00A51A08"/>
    <w:rsid w:val="00A51AC4"/>
    <w:rsid w:val="00A52D1C"/>
    <w:rsid w:val="00A52DBC"/>
    <w:rsid w:val="00A53BA0"/>
    <w:rsid w:val="00A53F85"/>
    <w:rsid w:val="00A54416"/>
    <w:rsid w:val="00A548CC"/>
    <w:rsid w:val="00A5563C"/>
    <w:rsid w:val="00A561BE"/>
    <w:rsid w:val="00A5649B"/>
    <w:rsid w:val="00A60861"/>
    <w:rsid w:val="00A61037"/>
    <w:rsid w:val="00A617C3"/>
    <w:rsid w:val="00A62F04"/>
    <w:rsid w:val="00A6399D"/>
    <w:rsid w:val="00A63FD8"/>
    <w:rsid w:val="00A64942"/>
    <w:rsid w:val="00A655FB"/>
    <w:rsid w:val="00A65CD3"/>
    <w:rsid w:val="00A65DE7"/>
    <w:rsid w:val="00A6643E"/>
    <w:rsid w:val="00A664B1"/>
    <w:rsid w:val="00A67E7C"/>
    <w:rsid w:val="00A67F6F"/>
    <w:rsid w:val="00A67F79"/>
    <w:rsid w:val="00A70674"/>
    <w:rsid w:val="00A70A33"/>
    <w:rsid w:val="00A71C81"/>
    <w:rsid w:val="00A7266E"/>
    <w:rsid w:val="00A72A92"/>
    <w:rsid w:val="00A7499F"/>
    <w:rsid w:val="00A7553F"/>
    <w:rsid w:val="00A7640D"/>
    <w:rsid w:val="00A77323"/>
    <w:rsid w:val="00A813DD"/>
    <w:rsid w:val="00A826E4"/>
    <w:rsid w:val="00A83397"/>
    <w:rsid w:val="00A84792"/>
    <w:rsid w:val="00A86048"/>
    <w:rsid w:val="00A878EC"/>
    <w:rsid w:val="00A87C2B"/>
    <w:rsid w:val="00A90AC0"/>
    <w:rsid w:val="00A91671"/>
    <w:rsid w:val="00A93663"/>
    <w:rsid w:val="00A94018"/>
    <w:rsid w:val="00A944E7"/>
    <w:rsid w:val="00A94908"/>
    <w:rsid w:val="00A94BD8"/>
    <w:rsid w:val="00A953DE"/>
    <w:rsid w:val="00A9562F"/>
    <w:rsid w:val="00A95C30"/>
    <w:rsid w:val="00A95F17"/>
    <w:rsid w:val="00A9658C"/>
    <w:rsid w:val="00A9677B"/>
    <w:rsid w:val="00AA03EC"/>
    <w:rsid w:val="00AA1C86"/>
    <w:rsid w:val="00AA243B"/>
    <w:rsid w:val="00AA2D1E"/>
    <w:rsid w:val="00AA32D6"/>
    <w:rsid w:val="00AA3EED"/>
    <w:rsid w:val="00AA5052"/>
    <w:rsid w:val="00AA51A3"/>
    <w:rsid w:val="00AA51E6"/>
    <w:rsid w:val="00AA7307"/>
    <w:rsid w:val="00AA7731"/>
    <w:rsid w:val="00AA7A20"/>
    <w:rsid w:val="00AB02C6"/>
    <w:rsid w:val="00AB1650"/>
    <w:rsid w:val="00AB24D6"/>
    <w:rsid w:val="00AB4015"/>
    <w:rsid w:val="00AB4029"/>
    <w:rsid w:val="00AB4309"/>
    <w:rsid w:val="00AB52B4"/>
    <w:rsid w:val="00AB554B"/>
    <w:rsid w:val="00AB57C8"/>
    <w:rsid w:val="00AB5D49"/>
    <w:rsid w:val="00AB5E97"/>
    <w:rsid w:val="00AB61D3"/>
    <w:rsid w:val="00AB67B4"/>
    <w:rsid w:val="00AB6858"/>
    <w:rsid w:val="00AB6ACD"/>
    <w:rsid w:val="00AB6CBA"/>
    <w:rsid w:val="00AB7995"/>
    <w:rsid w:val="00AC0A1E"/>
    <w:rsid w:val="00AC143F"/>
    <w:rsid w:val="00AC3AA1"/>
    <w:rsid w:val="00AC3D76"/>
    <w:rsid w:val="00AC4A54"/>
    <w:rsid w:val="00AC4A59"/>
    <w:rsid w:val="00AC5E23"/>
    <w:rsid w:val="00AC625C"/>
    <w:rsid w:val="00AC6764"/>
    <w:rsid w:val="00AC6BBB"/>
    <w:rsid w:val="00AC6DC2"/>
    <w:rsid w:val="00AC6DD7"/>
    <w:rsid w:val="00AD09B2"/>
    <w:rsid w:val="00AD2383"/>
    <w:rsid w:val="00AD27E9"/>
    <w:rsid w:val="00AD49E8"/>
    <w:rsid w:val="00AD61B2"/>
    <w:rsid w:val="00AD62E8"/>
    <w:rsid w:val="00AD677D"/>
    <w:rsid w:val="00AD7080"/>
    <w:rsid w:val="00AD70CE"/>
    <w:rsid w:val="00AE023A"/>
    <w:rsid w:val="00AE0466"/>
    <w:rsid w:val="00AE10AD"/>
    <w:rsid w:val="00AE13D1"/>
    <w:rsid w:val="00AE382F"/>
    <w:rsid w:val="00AE3F37"/>
    <w:rsid w:val="00AE69E4"/>
    <w:rsid w:val="00AE74A4"/>
    <w:rsid w:val="00AF00D6"/>
    <w:rsid w:val="00AF03A1"/>
    <w:rsid w:val="00AF070C"/>
    <w:rsid w:val="00AF1D00"/>
    <w:rsid w:val="00AF3058"/>
    <w:rsid w:val="00AF3682"/>
    <w:rsid w:val="00AF3DC7"/>
    <w:rsid w:val="00AF4117"/>
    <w:rsid w:val="00AF5060"/>
    <w:rsid w:val="00AF51D8"/>
    <w:rsid w:val="00AF5CCE"/>
    <w:rsid w:val="00AF6965"/>
    <w:rsid w:val="00AF7780"/>
    <w:rsid w:val="00AF7A4E"/>
    <w:rsid w:val="00AF7F9D"/>
    <w:rsid w:val="00B00356"/>
    <w:rsid w:val="00B003A2"/>
    <w:rsid w:val="00B00494"/>
    <w:rsid w:val="00B01602"/>
    <w:rsid w:val="00B019A3"/>
    <w:rsid w:val="00B01B13"/>
    <w:rsid w:val="00B01C45"/>
    <w:rsid w:val="00B025FA"/>
    <w:rsid w:val="00B04FC0"/>
    <w:rsid w:val="00B05FCA"/>
    <w:rsid w:val="00B06316"/>
    <w:rsid w:val="00B06AB7"/>
    <w:rsid w:val="00B06F5C"/>
    <w:rsid w:val="00B07995"/>
    <w:rsid w:val="00B07D80"/>
    <w:rsid w:val="00B10158"/>
    <w:rsid w:val="00B11449"/>
    <w:rsid w:val="00B12BEA"/>
    <w:rsid w:val="00B14D81"/>
    <w:rsid w:val="00B159D5"/>
    <w:rsid w:val="00B15B98"/>
    <w:rsid w:val="00B16476"/>
    <w:rsid w:val="00B16B91"/>
    <w:rsid w:val="00B17A4E"/>
    <w:rsid w:val="00B17EA4"/>
    <w:rsid w:val="00B2003D"/>
    <w:rsid w:val="00B203A6"/>
    <w:rsid w:val="00B21C78"/>
    <w:rsid w:val="00B2224E"/>
    <w:rsid w:val="00B23725"/>
    <w:rsid w:val="00B23C16"/>
    <w:rsid w:val="00B23E03"/>
    <w:rsid w:val="00B257B4"/>
    <w:rsid w:val="00B257CB"/>
    <w:rsid w:val="00B258F7"/>
    <w:rsid w:val="00B2691A"/>
    <w:rsid w:val="00B27444"/>
    <w:rsid w:val="00B27646"/>
    <w:rsid w:val="00B30592"/>
    <w:rsid w:val="00B30C73"/>
    <w:rsid w:val="00B32048"/>
    <w:rsid w:val="00B330CA"/>
    <w:rsid w:val="00B33197"/>
    <w:rsid w:val="00B34625"/>
    <w:rsid w:val="00B36417"/>
    <w:rsid w:val="00B36D46"/>
    <w:rsid w:val="00B36FC2"/>
    <w:rsid w:val="00B371BD"/>
    <w:rsid w:val="00B402C7"/>
    <w:rsid w:val="00B40810"/>
    <w:rsid w:val="00B40A69"/>
    <w:rsid w:val="00B41123"/>
    <w:rsid w:val="00B41243"/>
    <w:rsid w:val="00B414FA"/>
    <w:rsid w:val="00B433D6"/>
    <w:rsid w:val="00B43F04"/>
    <w:rsid w:val="00B43FB2"/>
    <w:rsid w:val="00B44A09"/>
    <w:rsid w:val="00B45465"/>
    <w:rsid w:val="00B503E2"/>
    <w:rsid w:val="00B5155D"/>
    <w:rsid w:val="00B51A92"/>
    <w:rsid w:val="00B51E6F"/>
    <w:rsid w:val="00B53AF1"/>
    <w:rsid w:val="00B55E4F"/>
    <w:rsid w:val="00B56FDA"/>
    <w:rsid w:val="00B57D23"/>
    <w:rsid w:val="00B6067F"/>
    <w:rsid w:val="00B613FC"/>
    <w:rsid w:val="00B6147F"/>
    <w:rsid w:val="00B61D7D"/>
    <w:rsid w:val="00B62474"/>
    <w:rsid w:val="00B62FB1"/>
    <w:rsid w:val="00B63BA8"/>
    <w:rsid w:val="00B640B9"/>
    <w:rsid w:val="00B644D7"/>
    <w:rsid w:val="00B65E0E"/>
    <w:rsid w:val="00B666BB"/>
    <w:rsid w:val="00B66B88"/>
    <w:rsid w:val="00B6757B"/>
    <w:rsid w:val="00B67A0B"/>
    <w:rsid w:val="00B67FB9"/>
    <w:rsid w:val="00B70963"/>
    <w:rsid w:val="00B71A46"/>
    <w:rsid w:val="00B72063"/>
    <w:rsid w:val="00B7284D"/>
    <w:rsid w:val="00B73391"/>
    <w:rsid w:val="00B73D5C"/>
    <w:rsid w:val="00B74713"/>
    <w:rsid w:val="00B74E0F"/>
    <w:rsid w:val="00B755AE"/>
    <w:rsid w:val="00B75971"/>
    <w:rsid w:val="00B7632D"/>
    <w:rsid w:val="00B7651C"/>
    <w:rsid w:val="00B76780"/>
    <w:rsid w:val="00B76930"/>
    <w:rsid w:val="00B806E1"/>
    <w:rsid w:val="00B80AC4"/>
    <w:rsid w:val="00B825BF"/>
    <w:rsid w:val="00B82AFE"/>
    <w:rsid w:val="00B83851"/>
    <w:rsid w:val="00B841E1"/>
    <w:rsid w:val="00B8430A"/>
    <w:rsid w:val="00B85980"/>
    <w:rsid w:val="00B85BDF"/>
    <w:rsid w:val="00B85C58"/>
    <w:rsid w:val="00B86386"/>
    <w:rsid w:val="00B866C2"/>
    <w:rsid w:val="00B868AF"/>
    <w:rsid w:val="00B86C53"/>
    <w:rsid w:val="00B86EBB"/>
    <w:rsid w:val="00B872BF"/>
    <w:rsid w:val="00B8787E"/>
    <w:rsid w:val="00B9137B"/>
    <w:rsid w:val="00B91F22"/>
    <w:rsid w:val="00B92865"/>
    <w:rsid w:val="00B93423"/>
    <w:rsid w:val="00B9428D"/>
    <w:rsid w:val="00B94DB0"/>
    <w:rsid w:val="00B95B86"/>
    <w:rsid w:val="00B9657E"/>
    <w:rsid w:val="00B96946"/>
    <w:rsid w:val="00B97AB2"/>
    <w:rsid w:val="00BA0A04"/>
    <w:rsid w:val="00BA16B2"/>
    <w:rsid w:val="00BA211B"/>
    <w:rsid w:val="00BA23FA"/>
    <w:rsid w:val="00BA26A0"/>
    <w:rsid w:val="00BA2CBF"/>
    <w:rsid w:val="00BA2DC2"/>
    <w:rsid w:val="00BA3B90"/>
    <w:rsid w:val="00BA4686"/>
    <w:rsid w:val="00BA5462"/>
    <w:rsid w:val="00BA79E8"/>
    <w:rsid w:val="00BB19A0"/>
    <w:rsid w:val="00BB1A76"/>
    <w:rsid w:val="00BB1E47"/>
    <w:rsid w:val="00BB22F0"/>
    <w:rsid w:val="00BB2C3E"/>
    <w:rsid w:val="00BB336B"/>
    <w:rsid w:val="00BB4708"/>
    <w:rsid w:val="00BB4BAF"/>
    <w:rsid w:val="00BB51AC"/>
    <w:rsid w:val="00BB5FE0"/>
    <w:rsid w:val="00BB6192"/>
    <w:rsid w:val="00BB6873"/>
    <w:rsid w:val="00BB6A19"/>
    <w:rsid w:val="00BB6A69"/>
    <w:rsid w:val="00BB7350"/>
    <w:rsid w:val="00BC0722"/>
    <w:rsid w:val="00BC08CB"/>
    <w:rsid w:val="00BC08CF"/>
    <w:rsid w:val="00BC0BC7"/>
    <w:rsid w:val="00BC13A6"/>
    <w:rsid w:val="00BC2490"/>
    <w:rsid w:val="00BC2B4A"/>
    <w:rsid w:val="00BC2CB0"/>
    <w:rsid w:val="00BC3AA6"/>
    <w:rsid w:val="00BC3E2B"/>
    <w:rsid w:val="00BC420D"/>
    <w:rsid w:val="00BC6F8C"/>
    <w:rsid w:val="00BD2076"/>
    <w:rsid w:val="00BD2F85"/>
    <w:rsid w:val="00BD3B3A"/>
    <w:rsid w:val="00BD3F4F"/>
    <w:rsid w:val="00BD4ED7"/>
    <w:rsid w:val="00BD509D"/>
    <w:rsid w:val="00BD5DEE"/>
    <w:rsid w:val="00BD5F55"/>
    <w:rsid w:val="00BD624F"/>
    <w:rsid w:val="00BD6F83"/>
    <w:rsid w:val="00BD7CFB"/>
    <w:rsid w:val="00BD7D28"/>
    <w:rsid w:val="00BE350C"/>
    <w:rsid w:val="00BE3986"/>
    <w:rsid w:val="00BE41F4"/>
    <w:rsid w:val="00BE4224"/>
    <w:rsid w:val="00BE6D97"/>
    <w:rsid w:val="00BE74C4"/>
    <w:rsid w:val="00BE7DEE"/>
    <w:rsid w:val="00BF06E8"/>
    <w:rsid w:val="00BF0E6C"/>
    <w:rsid w:val="00BF1017"/>
    <w:rsid w:val="00BF12B1"/>
    <w:rsid w:val="00BF1381"/>
    <w:rsid w:val="00BF3A26"/>
    <w:rsid w:val="00BF3FB3"/>
    <w:rsid w:val="00BF48AA"/>
    <w:rsid w:val="00BF4F7F"/>
    <w:rsid w:val="00BF5293"/>
    <w:rsid w:val="00BF614C"/>
    <w:rsid w:val="00BF65B9"/>
    <w:rsid w:val="00BF70FF"/>
    <w:rsid w:val="00BF7B96"/>
    <w:rsid w:val="00BF7FEC"/>
    <w:rsid w:val="00C000E8"/>
    <w:rsid w:val="00C0093F"/>
    <w:rsid w:val="00C00B5E"/>
    <w:rsid w:val="00C00D07"/>
    <w:rsid w:val="00C01D66"/>
    <w:rsid w:val="00C02D54"/>
    <w:rsid w:val="00C02E4C"/>
    <w:rsid w:val="00C05748"/>
    <w:rsid w:val="00C057EF"/>
    <w:rsid w:val="00C06ACC"/>
    <w:rsid w:val="00C06E63"/>
    <w:rsid w:val="00C074F6"/>
    <w:rsid w:val="00C07986"/>
    <w:rsid w:val="00C07B18"/>
    <w:rsid w:val="00C105CC"/>
    <w:rsid w:val="00C10DB0"/>
    <w:rsid w:val="00C119EE"/>
    <w:rsid w:val="00C12ED6"/>
    <w:rsid w:val="00C13E8E"/>
    <w:rsid w:val="00C14044"/>
    <w:rsid w:val="00C14346"/>
    <w:rsid w:val="00C14637"/>
    <w:rsid w:val="00C15849"/>
    <w:rsid w:val="00C15E87"/>
    <w:rsid w:val="00C166E1"/>
    <w:rsid w:val="00C16E63"/>
    <w:rsid w:val="00C17133"/>
    <w:rsid w:val="00C17A75"/>
    <w:rsid w:val="00C21327"/>
    <w:rsid w:val="00C215B2"/>
    <w:rsid w:val="00C238EB"/>
    <w:rsid w:val="00C24784"/>
    <w:rsid w:val="00C25014"/>
    <w:rsid w:val="00C252C6"/>
    <w:rsid w:val="00C272B6"/>
    <w:rsid w:val="00C27380"/>
    <w:rsid w:val="00C27711"/>
    <w:rsid w:val="00C27DD7"/>
    <w:rsid w:val="00C31363"/>
    <w:rsid w:val="00C31440"/>
    <w:rsid w:val="00C34B46"/>
    <w:rsid w:val="00C34D0B"/>
    <w:rsid w:val="00C36BE6"/>
    <w:rsid w:val="00C36F76"/>
    <w:rsid w:val="00C378A1"/>
    <w:rsid w:val="00C4036A"/>
    <w:rsid w:val="00C40857"/>
    <w:rsid w:val="00C40A5C"/>
    <w:rsid w:val="00C41984"/>
    <w:rsid w:val="00C432D1"/>
    <w:rsid w:val="00C441C2"/>
    <w:rsid w:val="00C4474F"/>
    <w:rsid w:val="00C45B01"/>
    <w:rsid w:val="00C46EC5"/>
    <w:rsid w:val="00C47B9D"/>
    <w:rsid w:val="00C50720"/>
    <w:rsid w:val="00C50F58"/>
    <w:rsid w:val="00C5230B"/>
    <w:rsid w:val="00C52593"/>
    <w:rsid w:val="00C52A0A"/>
    <w:rsid w:val="00C52F86"/>
    <w:rsid w:val="00C547A6"/>
    <w:rsid w:val="00C54A40"/>
    <w:rsid w:val="00C579F7"/>
    <w:rsid w:val="00C605D0"/>
    <w:rsid w:val="00C6083C"/>
    <w:rsid w:val="00C61564"/>
    <w:rsid w:val="00C6268E"/>
    <w:rsid w:val="00C62A9A"/>
    <w:rsid w:val="00C63057"/>
    <w:rsid w:val="00C63A42"/>
    <w:rsid w:val="00C6659A"/>
    <w:rsid w:val="00C67F11"/>
    <w:rsid w:val="00C70836"/>
    <w:rsid w:val="00C711C3"/>
    <w:rsid w:val="00C71D2B"/>
    <w:rsid w:val="00C72C66"/>
    <w:rsid w:val="00C739E0"/>
    <w:rsid w:val="00C73EB1"/>
    <w:rsid w:val="00C74BCB"/>
    <w:rsid w:val="00C7597B"/>
    <w:rsid w:val="00C75C10"/>
    <w:rsid w:val="00C77112"/>
    <w:rsid w:val="00C773AC"/>
    <w:rsid w:val="00C7758B"/>
    <w:rsid w:val="00C77B69"/>
    <w:rsid w:val="00C8094E"/>
    <w:rsid w:val="00C80ED3"/>
    <w:rsid w:val="00C811EF"/>
    <w:rsid w:val="00C81549"/>
    <w:rsid w:val="00C8165F"/>
    <w:rsid w:val="00C826A4"/>
    <w:rsid w:val="00C826C1"/>
    <w:rsid w:val="00C83BF9"/>
    <w:rsid w:val="00C8426B"/>
    <w:rsid w:val="00C84C7D"/>
    <w:rsid w:val="00C84E3B"/>
    <w:rsid w:val="00C866CF"/>
    <w:rsid w:val="00C90312"/>
    <w:rsid w:val="00C905D5"/>
    <w:rsid w:val="00C91335"/>
    <w:rsid w:val="00C914A7"/>
    <w:rsid w:val="00C91DD2"/>
    <w:rsid w:val="00C92E62"/>
    <w:rsid w:val="00C935F2"/>
    <w:rsid w:val="00C942E1"/>
    <w:rsid w:val="00C94372"/>
    <w:rsid w:val="00C95AB1"/>
    <w:rsid w:val="00C960D7"/>
    <w:rsid w:val="00C970F3"/>
    <w:rsid w:val="00C97D9E"/>
    <w:rsid w:val="00CA0553"/>
    <w:rsid w:val="00CA05A0"/>
    <w:rsid w:val="00CA0BC5"/>
    <w:rsid w:val="00CA1D1F"/>
    <w:rsid w:val="00CA2021"/>
    <w:rsid w:val="00CA2096"/>
    <w:rsid w:val="00CA2AB3"/>
    <w:rsid w:val="00CA4429"/>
    <w:rsid w:val="00CA4AC9"/>
    <w:rsid w:val="00CA4E53"/>
    <w:rsid w:val="00CA6742"/>
    <w:rsid w:val="00CA692A"/>
    <w:rsid w:val="00CA7385"/>
    <w:rsid w:val="00CA74FD"/>
    <w:rsid w:val="00CA7914"/>
    <w:rsid w:val="00CB0E86"/>
    <w:rsid w:val="00CB1B56"/>
    <w:rsid w:val="00CB26A8"/>
    <w:rsid w:val="00CB27C6"/>
    <w:rsid w:val="00CB3A6B"/>
    <w:rsid w:val="00CB44BF"/>
    <w:rsid w:val="00CB5EB8"/>
    <w:rsid w:val="00CB61E2"/>
    <w:rsid w:val="00CB6488"/>
    <w:rsid w:val="00CB6924"/>
    <w:rsid w:val="00CB6D25"/>
    <w:rsid w:val="00CB6F0D"/>
    <w:rsid w:val="00CB700D"/>
    <w:rsid w:val="00CB724E"/>
    <w:rsid w:val="00CB73A3"/>
    <w:rsid w:val="00CB7659"/>
    <w:rsid w:val="00CC33AC"/>
    <w:rsid w:val="00CC3E7C"/>
    <w:rsid w:val="00CC419E"/>
    <w:rsid w:val="00CC4248"/>
    <w:rsid w:val="00CC472F"/>
    <w:rsid w:val="00CC78D6"/>
    <w:rsid w:val="00CC7FEB"/>
    <w:rsid w:val="00CD0062"/>
    <w:rsid w:val="00CD020B"/>
    <w:rsid w:val="00CD0453"/>
    <w:rsid w:val="00CD0DC8"/>
    <w:rsid w:val="00CD12EF"/>
    <w:rsid w:val="00CD2916"/>
    <w:rsid w:val="00CD3A79"/>
    <w:rsid w:val="00CD4D8F"/>
    <w:rsid w:val="00CD57B0"/>
    <w:rsid w:val="00CD7220"/>
    <w:rsid w:val="00CE10AA"/>
    <w:rsid w:val="00CE1171"/>
    <w:rsid w:val="00CE165A"/>
    <w:rsid w:val="00CE332A"/>
    <w:rsid w:val="00CE33E9"/>
    <w:rsid w:val="00CE46FB"/>
    <w:rsid w:val="00CE6997"/>
    <w:rsid w:val="00CE7F9B"/>
    <w:rsid w:val="00CF203C"/>
    <w:rsid w:val="00CF22F7"/>
    <w:rsid w:val="00CF3227"/>
    <w:rsid w:val="00CF3FC8"/>
    <w:rsid w:val="00CF4A19"/>
    <w:rsid w:val="00CF4DAB"/>
    <w:rsid w:val="00CF6225"/>
    <w:rsid w:val="00CF6E87"/>
    <w:rsid w:val="00CF6EF0"/>
    <w:rsid w:val="00CF76C9"/>
    <w:rsid w:val="00D00528"/>
    <w:rsid w:val="00D00683"/>
    <w:rsid w:val="00D0074E"/>
    <w:rsid w:val="00D0085A"/>
    <w:rsid w:val="00D00B94"/>
    <w:rsid w:val="00D00C57"/>
    <w:rsid w:val="00D01D96"/>
    <w:rsid w:val="00D01E56"/>
    <w:rsid w:val="00D02F42"/>
    <w:rsid w:val="00D0324B"/>
    <w:rsid w:val="00D0344C"/>
    <w:rsid w:val="00D0459C"/>
    <w:rsid w:val="00D05BDD"/>
    <w:rsid w:val="00D106CC"/>
    <w:rsid w:val="00D1117D"/>
    <w:rsid w:val="00D1133D"/>
    <w:rsid w:val="00D1277C"/>
    <w:rsid w:val="00D12B53"/>
    <w:rsid w:val="00D13A7A"/>
    <w:rsid w:val="00D1423F"/>
    <w:rsid w:val="00D14297"/>
    <w:rsid w:val="00D14619"/>
    <w:rsid w:val="00D147BF"/>
    <w:rsid w:val="00D1612B"/>
    <w:rsid w:val="00D16BA4"/>
    <w:rsid w:val="00D16D29"/>
    <w:rsid w:val="00D2029B"/>
    <w:rsid w:val="00D206E8"/>
    <w:rsid w:val="00D21196"/>
    <w:rsid w:val="00D21652"/>
    <w:rsid w:val="00D21C1C"/>
    <w:rsid w:val="00D220DD"/>
    <w:rsid w:val="00D234F8"/>
    <w:rsid w:val="00D2581A"/>
    <w:rsid w:val="00D2633F"/>
    <w:rsid w:val="00D268C2"/>
    <w:rsid w:val="00D27390"/>
    <w:rsid w:val="00D30085"/>
    <w:rsid w:val="00D306C4"/>
    <w:rsid w:val="00D33151"/>
    <w:rsid w:val="00D34C9C"/>
    <w:rsid w:val="00D363C1"/>
    <w:rsid w:val="00D3761F"/>
    <w:rsid w:val="00D405DC"/>
    <w:rsid w:val="00D4060B"/>
    <w:rsid w:val="00D40E5F"/>
    <w:rsid w:val="00D41704"/>
    <w:rsid w:val="00D4194E"/>
    <w:rsid w:val="00D419B0"/>
    <w:rsid w:val="00D42CED"/>
    <w:rsid w:val="00D43E3A"/>
    <w:rsid w:val="00D449C3"/>
    <w:rsid w:val="00D457A5"/>
    <w:rsid w:val="00D45CF4"/>
    <w:rsid w:val="00D463E6"/>
    <w:rsid w:val="00D46A3B"/>
    <w:rsid w:val="00D46C79"/>
    <w:rsid w:val="00D475E1"/>
    <w:rsid w:val="00D50145"/>
    <w:rsid w:val="00D50DFD"/>
    <w:rsid w:val="00D52CA4"/>
    <w:rsid w:val="00D53032"/>
    <w:rsid w:val="00D535D2"/>
    <w:rsid w:val="00D53C64"/>
    <w:rsid w:val="00D53F20"/>
    <w:rsid w:val="00D5516B"/>
    <w:rsid w:val="00D56019"/>
    <w:rsid w:val="00D56367"/>
    <w:rsid w:val="00D5637D"/>
    <w:rsid w:val="00D56A89"/>
    <w:rsid w:val="00D60CB8"/>
    <w:rsid w:val="00D61A1A"/>
    <w:rsid w:val="00D63652"/>
    <w:rsid w:val="00D63EE9"/>
    <w:rsid w:val="00D6443A"/>
    <w:rsid w:val="00D64E25"/>
    <w:rsid w:val="00D64E99"/>
    <w:rsid w:val="00D651BC"/>
    <w:rsid w:val="00D65F46"/>
    <w:rsid w:val="00D672C7"/>
    <w:rsid w:val="00D67D41"/>
    <w:rsid w:val="00D67E06"/>
    <w:rsid w:val="00D713C4"/>
    <w:rsid w:val="00D7198A"/>
    <w:rsid w:val="00D73D63"/>
    <w:rsid w:val="00D7670A"/>
    <w:rsid w:val="00D76950"/>
    <w:rsid w:val="00D77C8F"/>
    <w:rsid w:val="00D80162"/>
    <w:rsid w:val="00D8031E"/>
    <w:rsid w:val="00D8080B"/>
    <w:rsid w:val="00D81093"/>
    <w:rsid w:val="00D810C7"/>
    <w:rsid w:val="00D8128A"/>
    <w:rsid w:val="00D81A41"/>
    <w:rsid w:val="00D81E3E"/>
    <w:rsid w:val="00D81E83"/>
    <w:rsid w:val="00D820C8"/>
    <w:rsid w:val="00D82312"/>
    <w:rsid w:val="00D83514"/>
    <w:rsid w:val="00D836D5"/>
    <w:rsid w:val="00D836F1"/>
    <w:rsid w:val="00D83737"/>
    <w:rsid w:val="00D83834"/>
    <w:rsid w:val="00D840E9"/>
    <w:rsid w:val="00D84538"/>
    <w:rsid w:val="00D8462A"/>
    <w:rsid w:val="00D847D1"/>
    <w:rsid w:val="00D84C8A"/>
    <w:rsid w:val="00D85075"/>
    <w:rsid w:val="00D8559D"/>
    <w:rsid w:val="00D859DC"/>
    <w:rsid w:val="00D85A53"/>
    <w:rsid w:val="00D85A59"/>
    <w:rsid w:val="00D86179"/>
    <w:rsid w:val="00D868D2"/>
    <w:rsid w:val="00D86E36"/>
    <w:rsid w:val="00D878FA"/>
    <w:rsid w:val="00D87FD4"/>
    <w:rsid w:val="00D903EB"/>
    <w:rsid w:val="00D904F8"/>
    <w:rsid w:val="00D92171"/>
    <w:rsid w:val="00D9258B"/>
    <w:rsid w:val="00D92ABB"/>
    <w:rsid w:val="00D946BB"/>
    <w:rsid w:val="00D961AA"/>
    <w:rsid w:val="00D96541"/>
    <w:rsid w:val="00D97E91"/>
    <w:rsid w:val="00DA012E"/>
    <w:rsid w:val="00DA1341"/>
    <w:rsid w:val="00DA1D01"/>
    <w:rsid w:val="00DA2A4D"/>
    <w:rsid w:val="00DA42F4"/>
    <w:rsid w:val="00DA5747"/>
    <w:rsid w:val="00DA5979"/>
    <w:rsid w:val="00DA61DA"/>
    <w:rsid w:val="00DA7EBD"/>
    <w:rsid w:val="00DA7FCF"/>
    <w:rsid w:val="00DB0652"/>
    <w:rsid w:val="00DB0B56"/>
    <w:rsid w:val="00DB1BFB"/>
    <w:rsid w:val="00DB1D6D"/>
    <w:rsid w:val="00DB2ADA"/>
    <w:rsid w:val="00DB2C93"/>
    <w:rsid w:val="00DB2D62"/>
    <w:rsid w:val="00DB351F"/>
    <w:rsid w:val="00DB39A6"/>
    <w:rsid w:val="00DB3E7A"/>
    <w:rsid w:val="00DB3F72"/>
    <w:rsid w:val="00DB40DE"/>
    <w:rsid w:val="00DB67ED"/>
    <w:rsid w:val="00DC0FCA"/>
    <w:rsid w:val="00DC18C6"/>
    <w:rsid w:val="00DC315E"/>
    <w:rsid w:val="00DC3BA1"/>
    <w:rsid w:val="00DC3C66"/>
    <w:rsid w:val="00DC3CB6"/>
    <w:rsid w:val="00DC3DAF"/>
    <w:rsid w:val="00DC5DB4"/>
    <w:rsid w:val="00DC63AE"/>
    <w:rsid w:val="00DC6C03"/>
    <w:rsid w:val="00DC6F64"/>
    <w:rsid w:val="00DD05A5"/>
    <w:rsid w:val="00DD07CD"/>
    <w:rsid w:val="00DD0DA5"/>
    <w:rsid w:val="00DD203A"/>
    <w:rsid w:val="00DD35F8"/>
    <w:rsid w:val="00DD4F0B"/>
    <w:rsid w:val="00DD7484"/>
    <w:rsid w:val="00DE097F"/>
    <w:rsid w:val="00DE11A7"/>
    <w:rsid w:val="00DE1803"/>
    <w:rsid w:val="00DE2478"/>
    <w:rsid w:val="00DE2714"/>
    <w:rsid w:val="00DE2D3F"/>
    <w:rsid w:val="00DE2DEE"/>
    <w:rsid w:val="00DE361E"/>
    <w:rsid w:val="00DE40D7"/>
    <w:rsid w:val="00DE4A70"/>
    <w:rsid w:val="00DE63C7"/>
    <w:rsid w:val="00DE7A80"/>
    <w:rsid w:val="00DF078D"/>
    <w:rsid w:val="00DF1B02"/>
    <w:rsid w:val="00DF2022"/>
    <w:rsid w:val="00DF2199"/>
    <w:rsid w:val="00DF26F0"/>
    <w:rsid w:val="00DF3B3E"/>
    <w:rsid w:val="00DF45C9"/>
    <w:rsid w:val="00DF4D90"/>
    <w:rsid w:val="00DF7C6A"/>
    <w:rsid w:val="00DF7EC5"/>
    <w:rsid w:val="00DF7F05"/>
    <w:rsid w:val="00E01A80"/>
    <w:rsid w:val="00E075A1"/>
    <w:rsid w:val="00E079B1"/>
    <w:rsid w:val="00E07A36"/>
    <w:rsid w:val="00E07B4C"/>
    <w:rsid w:val="00E1021D"/>
    <w:rsid w:val="00E116BB"/>
    <w:rsid w:val="00E14169"/>
    <w:rsid w:val="00E147E2"/>
    <w:rsid w:val="00E21122"/>
    <w:rsid w:val="00E21277"/>
    <w:rsid w:val="00E21A2F"/>
    <w:rsid w:val="00E21C8A"/>
    <w:rsid w:val="00E21E7B"/>
    <w:rsid w:val="00E2288B"/>
    <w:rsid w:val="00E32918"/>
    <w:rsid w:val="00E32FC7"/>
    <w:rsid w:val="00E35C6C"/>
    <w:rsid w:val="00E368B1"/>
    <w:rsid w:val="00E408DA"/>
    <w:rsid w:val="00E41317"/>
    <w:rsid w:val="00E4331E"/>
    <w:rsid w:val="00E4391B"/>
    <w:rsid w:val="00E44EDE"/>
    <w:rsid w:val="00E4532E"/>
    <w:rsid w:val="00E458A2"/>
    <w:rsid w:val="00E45DE4"/>
    <w:rsid w:val="00E46E24"/>
    <w:rsid w:val="00E4793A"/>
    <w:rsid w:val="00E5254A"/>
    <w:rsid w:val="00E52A30"/>
    <w:rsid w:val="00E53A11"/>
    <w:rsid w:val="00E53FA9"/>
    <w:rsid w:val="00E550D1"/>
    <w:rsid w:val="00E554BF"/>
    <w:rsid w:val="00E55CCD"/>
    <w:rsid w:val="00E5616E"/>
    <w:rsid w:val="00E56EA2"/>
    <w:rsid w:val="00E57619"/>
    <w:rsid w:val="00E60B8B"/>
    <w:rsid w:val="00E6166B"/>
    <w:rsid w:val="00E61930"/>
    <w:rsid w:val="00E628E9"/>
    <w:rsid w:val="00E63FE3"/>
    <w:rsid w:val="00E6512B"/>
    <w:rsid w:val="00E65A32"/>
    <w:rsid w:val="00E65B66"/>
    <w:rsid w:val="00E65B8B"/>
    <w:rsid w:val="00E70666"/>
    <w:rsid w:val="00E70AF8"/>
    <w:rsid w:val="00E71341"/>
    <w:rsid w:val="00E71867"/>
    <w:rsid w:val="00E72148"/>
    <w:rsid w:val="00E73639"/>
    <w:rsid w:val="00E7471A"/>
    <w:rsid w:val="00E74D08"/>
    <w:rsid w:val="00E75593"/>
    <w:rsid w:val="00E75F16"/>
    <w:rsid w:val="00E7618B"/>
    <w:rsid w:val="00E762B3"/>
    <w:rsid w:val="00E762B8"/>
    <w:rsid w:val="00E76318"/>
    <w:rsid w:val="00E76BA6"/>
    <w:rsid w:val="00E773F4"/>
    <w:rsid w:val="00E811FF"/>
    <w:rsid w:val="00E816FD"/>
    <w:rsid w:val="00E81E4F"/>
    <w:rsid w:val="00E82A2E"/>
    <w:rsid w:val="00E833E6"/>
    <w:rsid w:val="00E83DFD"/>
    <w:rsid w:val="00E841E9"/>
    <w:rsid w:val="00E84663"/>
    <w:rsid w:val="00E847FA"/>
    <w:rsid w:val="00E849F0"/>
    <w:rsid w:val="00E85337"/>
    <w:rsid w:val="00E85888"/>
    <w:rsid w:val="00E85A2A"/>
    <w:rsid w:val="00E85F2A"/>
    <w:rsid w:val="00E86687"/>
    <w:rsid w:val="00E86DAA"/>
    <w:rsid w:val="00E8776E"/>
    <w:rsid w:val="00E87B41"/>
    <w:rsid w:val="00E9260F"/>
    <w:rsid w:val="00E9492E"/>
    <w:rsid w:val="00E95B67"/>
    <w:rsid w:val="00EA18A6"/>
    <w:rsid w:val="00EA233D"/>
    <w:rsid w:val="00EA2B4E"/>
    <w:rsid w:val="00EA2CB3"/>
    <w:rsid w:val="00EA2ED1"/>
    <w:rsid w:val="00EA3471"/>
    <w:rsid w:val="00EA3DCD"/>
    <w:rsid w:val="00EA425A"/>
    <w:rsid w:val="00EA488C"/>
    <w:rsid w:val="00EA4ACE"/>
    <w:rsid w:val="00EA5321"/>
    <w:rsid w:val="00EA5C32"/>
    <w:rsid w:val="00EA642F"/>
    <w:rsid w:val="00EA6C74"/>
    <w:rsid w:val="00EA754F"/>
    <w:rsid w:val="00EB0A50"/>
    <w:rsid w:val="00EB140C"/>
    <w:rsid w:val="00EB1814"/>
    <w:rsid w:val="00EB19C5"/>
    <w:rsid w:val="00EB1BCD"/>
    <w:rsid w:val="00EB387A"/>
    <w:rsid w:val="00EB42BC"/>
    <w:rsid w:val="00EB5E9C"/>
    <w:rsid w:val="00EB7222"/>
    <w:rsid w:val="00EB7A2A"/>
    <w:rsid w:val="00EC0ADD"/>
    <w:rsid w:val="00EC27EB"/>
    <w:rsid w:val="00EC2937"/>
    <w:rsid w:val="00EC36C4"/>
    <w:rsid w:val="00EC375B"/>
    <w:rsid w:val="00EC581A"/>
    <w:rsid w:val="00EC5CC6"/>
    <w:rsid w:val="00EC7100"/>
    <w:rsid w:val="00EC7B53"/>
    <w:rsid w:val="00ED0051"/>
    <w:rsid w:val="00ED1A55"/>
    <w:rsid w:val="00ED27B6"/>
    <w:rsid w:val="00ED2B20"/>
    <w:rsid w:val="00ED2CFE"/>
    <w:rsid w:val="00ED63D8"/>
    <w:rsid w:val="00ED6435"/>
    <w:rsid w:val="00ED6774"/>
    <w:rsid w:val="00ED6D29"/>
    <w:rsid w:val="00ED70D4"/>
    <w:rsid w:val="00ED7716"/>
    <w:rsid w:val="00ED7FD0"/>
    <w:rsid w:val="00EE1C09"/>
    <w:rsid w:val="00EE2231"/>
    <w:rsid w:val="00EE2D16"/>
    <w:rsid w:val="00EE5ADB"/>
    <w:rsid w:val="00EE7105"/>
    <w:rsid w:val="00EF278D"/>
    <w:rsid w:val="00EF34E6"/>
    <w:rsid w:val="00EF430C"/>
    <w:rsid w:val="00EF46CB"/>
    <w:rsid w:val="00EF47C9"/>
    <w:rsid w:val="00EF4CCE"/>
    <w:rsid w:val="00EF5B0D"/>
    <w:rsid w:val="00EF6511"/>
    <w:rsid w:val="00EF6826"/>
    <w:rsid w:val="00EF6E90"/>
    <w:rsid w:val="00EF6F25"/>
    <w:rsid w:val="00EF786A"/>
    <w:rsid w:val="00F00522"/>
    <w:rsid w:val="00F00BDE"/>
    <w:rsid w:val="00F01968"/>
    <w:rsid w:val="00F01F2B"/>
    <w:rsid w:val="00F024D0"/>
    <w:rsid w:val="00F0512D"/>
    <w:rsid w:val="00F0537C"/>
    <w:rsid w:val="00F054E5"/>
    <w:rsid w:val="00F05ED3"/>
    <w:rsid w:val="00F101F3"/>
    <w:rsid w:val="00F104E6"/>
    <w:rsid w:val="00F10506"/>
    <w:rsid w:val="00F10ABB"/>
    <w:rsid w:val="00F13885"/>
    <w:rsid w:val="00F1389C"/>
    <w:rsid w:val="00F13AA3"/>
    <w:rsid w:val="00F1461F"/>
    <w:rsid w:val="00F1655C"/>
    <w:rsid w:val="00F16A81"/>
    <w:rsid w:val="00F16FEF"/>
    <w:rsid w:val="00F178EE"/>
    <w:rsid w:val="00F17F00"/>
    <w:rsid w:val="00F20410"/>
    <w:rsid w:val="00F20476"/>
    <w:rsid w:val="00F20D5B"/>
    <w:rsid w:val="00F221D3"/>
    <w:rsid w:val="00F222B5"/>
    <w:rsid w:val="00F22560"/>
    <w:rsid w:val="00F234C7"/>
    <w:rsid w:val="00F23915"/>
    <w:rsid w:val="00F23A60"/>
    <w:rsid w:val="00F2421B"/>
    <w:rsid w:val="00F24A87"/>
    <w:rsid w:val="00F24CE5"/>
    <w:rsid w:val="00F25C2F"/>
    <w:rsid w:val="00F266D2"/>
    <w:rsid w:val="00F268B5"/>
    <w:rsid w:val="00F26C20"/>
    <w:rsid w:val="00F27414"/>
    <w:rsid w:val="00F277F7"/>
    <w:rsid w:val="00F300AC"/>
    <w:rsid w:val="00F307FB"/>
    <w:rsid w:val="00F30BB1"/>
    <w:rsid w:val="00F314CF"/>
    <w:rsid w:val="00F31523"/>
    <w:rsid w:val="00F31D68"/>
    <w:rsid w:val="00F32891"/>
    <w:rsid w:val="00F33273"/>
    <w:rsid w:val="00F3344B"/>
    <w:rsid w:val="00F33899"/>
    <w:rsid w:val="00F349D0"/>
    <w:rsid w:val="00F350A9"/>
    <w:rsid w:val="00F3524E"/>
    <w:rsid w:val="00F35292"/>
    <w:rsid w:val="00F35407"/>
    <w:rsid w:val="00F35A2F"/>
    <w:rsid w:val="00F364A5"/>
    <w:rsid w:val="00F36F89"/>
    <w:rsid w:val="00F40416"/>
    <w:rsid w:val="00F4220C"/>
    <w:rsid w:val="00F42621"/>
    <w:rsid w:val="00F43D0D"/>
    <w:rsid w:val="00F43E38"/>
    <w:rsid w:val="00F44250"/>
    <w:rsid w:val="00F4425B"/>
    <w:rsid w:val="00F44B31"/>
    <w:rsid w:val="00F45059"/>
    <w:rsid w:val="00F4505B"/>
    <w:rsid w:val="00F47D00"/>
    <w:rsid w:val="00F50F56"/>
    <w:rsid w:val="00F5210F"/>
    <w:rsid w:val="00F52860"/>
    <w:rsid w:val="00F52904"/>
    <w:rsid w:val="00F548A2"/>
    <w:rsid w:val="00F54AD0"/>
    <w:rsid w:val="00F54AE5"/>
    <w:rsid w:val="00F54F10"/>
    <w:rsid w:val="00F552E1"/>
    <w:rsid w:val="00F55B63"/>
    <w:rsid w:val="00F55E10"/>
    <w:rsid w:val="00F56ADB"/>
    <w:rsid w:val="00F62635"/>
    <w:rsid w:val="00F6270F"/>
    <w:rsid w:val="00F64049"/>
    <w:rsid w:val="00F6519E"/>
    <w:rsid w:val="00F653C7"/>
    <w:rsid w:val="00F66648"/>
    <w:rsid w:val="00F66A3D"/>
    <w:rsid w:val="00F66B9B"/>
    <w:rsid w:val="00F67AA7"/>
    <w:rsid w:val="00F67E9C"/>
    <w:rsid w:val="00F71898"/>
    <w:rsid w:val="00F71EF2"/>
    <w:rsid w:val="00F722AB"/>
    <w:rsid w:val="00F72D3C"/>
    <w:rsid w:val="00F734A5"/>
    <w:rsid w:val="00F73DB9"/>
    <w:rsid w:val="00F74456"/>
    <w:rsid w:val="00F74D14"/>
    <w:rsid w:val="00F751F6"/>
    <w:rsid w:val="00F75945"/>
    <w:rsid w:val="00F764DD"/>
    <w:rsid w:val="00F765DC"/>
    <w:rsid w:val="00F813EE"/>
    <w:rsid w:val="00F81AE7"/>
    <w:rsid w:val="00F81DC7"/>
    <w:rsid w:val="00F82F52"/>
    <w:rsid w:val="00F834DA"/>
    <w:rsid w:val="00F8476A"/>
    <w:rsid w:val="00F853E4"/>
    <w:rsid w:val="00F872E6"/>
    <w:rsid w:val="00F8770F"/>
    <w:rsid w:val="00F877D4"/>
    <w:rsid w:val="00F87BC8"/>
    <w:rsid w:val="00F87D2F"/>
    <w:rsid w:val="00F9003D"/>
    <w:rsid w:val="00F905A1"/>
    <w:rsid w:val="00F9084E"/>
    <w:rsid w:val="00F922DE"/>
    <w:rsid w:val="00F94237"/>
    <w:rsid w:val="00F95B71"/>
    <w:rsid w:val="00F96D4C"/>
    <w:rsid w:val="00F977C8"/>
    <w:rsid w:val="00F97E45"/>
    <w:rsid w:val="00FA0ADA"/>
    <w:rsid w:val="00FA1A79"/>
    <w:rsid w:val="00FA1FC1"/>
    <w:rsid w:val="00FA23AB"/>
    <w:rsid w:val="00FA25D1"/>
    <w:rsid w:val="00FA3B4D"/>
    <w:rsid w:val="00FA5AA7"/>
    <w:rsid w:val="00FB065E"/>
    <w:rsid w:val="00FB0C63"/>
    <w:rsid w:val="00FB1298"/>
    <w:rsid w:val="00FB15E6"/>
    <w:rsid w:val="00FB254A"/>
    <w:rsid w:val="00FB3193"/>
    <w:rsid w:val="00FB3381"/>
    <w:rsid w:val="00FB3721"/>
    <w:rsid w:val="00FB372A"/>
    <w:rsid w:val="00FB3972"/>
    <w:rsid w:val="00FB3FC9"/>
    <w:rsid w:val="00FB45F4"/>
    <w:rsid w:val="00FB5029"/>
    <w:rsid w:val="00FB511E"/>
    <w:rsid w:val="00FB59BE"/>
    <w:rsid w:val="00FB7871"/>
    <w:rsid w:val="00FC015D"/>
    <w:rsid w:val="00FC084C"/>
    <w:rsid w:val="00FC0946"/>
    <w:rsid w:val="00FC11D1"/>
    <w:rsid w:val="00FC2D6C"/>
    <w:rsid w:val="00FC3352"/>
    <w:rsid w:val="00FC45E0"/>
    <w:rsid w:val="00FC4B15"/>
    <w:rsid w:val="00FC5039"/>
    <w:rsid w:val="00FC5B1E"/>
    <w:rsid w:val="00FC6156"/>
    <w:rsid w:val="00FC616C"/>
    <w:rsid w:val="00FC7274"/>
    <w:rsid w:val="00FC77C2"/>
    <w:rsid w:val="00FC7CBC"/>
    <w:rsid w:val="00FD257C"/>
    <w:rsid w:val="00FD2EA0"/>
    <w:rsid w:val="00FD35FE"/>
    <w:rsid w:val="00FD3E4F"/>
    <w:rsid w:val="00FD40F5"/>
    <w:rsid w:val="00FD4BD1"/>
    <w:rsid w:val="00FD4C4B"/>
    <w:rsid w:val="00FD4EB7"/>
    <w:rsid w:val="00FD5273"/>
    <w:rsid w:val="00FD6238"/>
    <w:rsid w:val="00FD6239"/>
    <w:rsid w:val="00FD6659"/>
    <w:rsid w:val="00FD6C83"/>
    <w:rsid w:val="00FD7BB9"/>
    <w:rsid w:val="00FE07E2"/>
    <w:rsid w:val="00FE0F0B"/>
    <w:rsid w:val="00FE1029"/>
    <w:rsid w:val="00FE1A24"/>
    <w:rsid w:val="00FE1D5B"/>
    <w:rsid w:val="00FE4560"/>
    <w:rsid w:val="00FE4A41"/>
    <w:rsid w:val="00FE5385"/>
    <w:rsid w:val="00FE5985"/>
    <w:rsid w:val="00FE66D1"/>
    <w:rsid w:val="00FE781D"/>
    <w:rsid w:val="00FE7ADD"/>
    <w:rsid w:val="00FE7AE6"/>
    <w:rsid w:val="00FF399D"/>
    <w:rsid w:val="00FF40C4"/>
    <w:rsid w:val="00FF4499"/>
    <w:rsid w:val="00FF50C5"/>
    <w:rsid w:val="00FF571D"/>
    <w:rsid w:val="00FF5B70"/>
    <w:rsid w:val="00FF7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E6"/>
    <w:pPr>
      <w:spacing w:after="240" w:line="480" w:lineRule="auto"/>
    </w:pPr>
    <w:rPr>
      <w:rFonts w:ascii="Times New Roman" w:hAnsi="Times New Roman"/>
      <w:lang w:bidi="en-US"/>
    </w:rPr>
  </w:style>
  <w:style w:type="paragraph" w:styleId="Heading1">
    <w:name w:val="heading 1"/>
    <w:basedOn w:val="Normal"/>
    <w:next w:val="Normal"/>
    <w:link w:val="Heading1Char"/>
    <w:uiPriority w:val="9"/>
    <w:qFormat/>
    <w:rsid w:val="001B3F98"/>
    <w:pPr>
      <w:keepNext/>
      <w:keepLines/>
      <w:spacing w:before="24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6AFC"/>
    <w:pPr>
      <w:keepNext/>
      <w:keepLines/>
      <w:spacing w:before="48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B3F98"/>
    <w:pPr>
      <w:keepNext/>
      <w:keepLines/>
      <w:spacing w:before="240" w:line="240"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B07D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F98"/>
    <w:rPr>
      <w:rFonts w:asciiTheme="majorHAnsi" w:eastAsiaTheme="majorEastAsia" w:hAnsiTheme="majorHAnsi" w:cstheme="majorBidi"/>
      <w:color w:val="2E74B5" w:themeColor="accent1" w:themeShade="BF"/>
      <w:sz w:val="32"/>
      <w:szCs w:val="32"/>
      <w:lang w:bidi="en-US"/>
    </w:rPr>
  </w:style>
  <w:style w:type="character" w:customStyle="1" w:styleId="Heading2Char">
    <w:name w:val="Heading 2 Char"/>
    <w:basedOn w:val="DefaultParagraphFont"/>
    <w:link w:val="Heading2"/>
    <w:uiPriority w:val="9"/>
    <w:rsid w:val="00746AFC"/>
    <w:rPr>
      <w:rFonts w:asciiTheme="majorHAnsi" w:eastAsiaTheme="majorEastAsia" w:hAnsiTheme="majorHAnsi" w:cstheme="majorBidi"/>
      <w:b/>
      <w:color w:val="2E74B5" w:themeColor="accent1" w:themeShade="BF"/>
      <w:sz w:val="26"/>
      <w:szCs w:val="26"/>
      <w:lang w:bidi="en-US"/>
    </w:rPr>
  </w:style>
  <w:style w:type="character" w:customStyle="1" w:styleId="Heading3Char">
    <w:name w:val="Heading 3 Char"/>
    <w:basedOn w:val="DefaultParagraphFont"/>
    <w:link w:val="Heading3"/>
    <w:uiPriority w:val="9"/>
    <w:rsid w:val="001B3F98"/>
    <w:rPr>
      <w:rFonts w:asciiTheme="majorHAnsi" w:eastAsiaTheme="majorEastAsia" w:hAnsiTheme="majorHAnsi" w:cstheme="majorBidi"/>
      <w:color w:val="1F4D78" w:themeColor="accent1" w:themeShade="7F"/>
      <w:sz w:val="24"/>
      <w:lang w:bidi="en-US"/>
    </w:rPr>
  </w:style>
  <w:style w:type="character" w:customStyle="1" w:styleId="Heading4Char">
    <w:name w:val="Heading 4 Char"/>
    <w:basedOn w:val="DefaultParagraphFont"/>
    <w:link w:val="Heading4"/>
    <w:uiPriority w:val="9"/>
    <w:rsid w:val="00B07D80"/>
    <w:rPr>
      <w:rFonts w:asciiTheme="majorHAnsi" w:eastAsiaTheme="majorEastAsia" w:hAnsiTheme="majorHAnsi" w:cstheme="majorBidi"/>
      <w:i/>
      <w:iCs/>
      <w:color w:val="2E74B5" w:themeColor="accent1" w:themeShade="BF"/>
      <w:lang w:bidi="en-US"/>
    </w:rPr>
  </w:style>
  <w:style w:type="paragraph" w:styleId="ListParagraph">
    <w:name w:val="List Paragraph"/>
    <w:basedOn w:val="Normal"/>
    <w:uiPriority w:val="34"/>
    <w:qFormat/>
    <w:rsid w:val="00B07D80"/>
    <w:pPr>
      <w:spacing w:after="120"/>
      <w:ind w:left="720"/>
    </w:pPr>
  </w:style>
  <w:style w:type="paragraph" w:styleId="CommentText">
    <w:name w:val="annotation text"/>
    <w:basedOn w:val="Normal"/>
    <w:link w:val="CommentTextChar"/>
    <w:uiPriority w:val="99"/>
    <w:unhideWhenUsed/>
    <w:rsid w:val="00B07D80"/>
    <w:pPr>
      <w:spacing w:line="240" w:lineRule="auto"/>
    </w:pPr>
    <w:rPr>
      <w:rFonts w:ascii="Arial" w:hAnsi="Arial"/>
      <w:szCs w:val="20"/>
      <w:lang w:val="en-US"/>
    </w:rPr>
  </w:style>
  <w:style w:type="character" w:customStyle="1" w:styleId="CommentTextChar">
    <w:name w:val="Comment Text Char"/>
    <w:basedOn w:val="DefaultParagraphFont"/>
    <w:link w:val="CommentText"/>
    <w:uiPriority w:val="99"/>
    <w:rsid w:val="00B07D80"/>
    <w:rPr>
      <w:rFonts w:ascii="Arial" w:hAnsi="Arial"/>
      <w:szCs w:val="20"/>
      <w:lang w:val="en-US" w:bidi="en-US"/>
    </w:rPr>
  </w:style>
  <w:style w:type="paragraph" w:styleId="FootnoteText">
    <w:name w:val="footnote text"/>
    <w:basedOn w:val="Normal"/>
    <w:link w:val="FootnoteTextChar"/>
    <w:uiPriority w:val="99"/>
    <w:unhideWhenUsed/>
    <w:rsid w:val="00B07D80"/>
    <w:pPr>
      <w:spacing w:after="0" w:line="240" w:lineRule="auto"/>
    </w:pPr>
    <w:rPr>
      <w:sz w:val="20"/>
      <w:szCs w:val="20"/>
    </w:rPr>
  </w:style>
  <w:style w:type="character" w:customStyle="1" w:styleId="FootnoteTextChar">
    <w:name w:val="Footnote Text Char"/>
    <w:basedOn w:val="DefaultParagraphFont"/>
    <w:link w:val="FootnoteText"/>
    <w:uiPriority w:val="99"/>
    <w:rsid w:val="00B07D80"/>
    <w:rPr>
      <w:rFonts w:ascii="Times New Roman" w:hAnsi="Times New Roman"/>
      <w:sz w:val="20"/>
      <w:szCs w:val="20"/>
      <w:lang w:bidi="en-US"/>
    </w:rPr>
  </w:style>
  <w:style w:type="character" w:styleId="FootnoteReference">
    <w:name w:val="footnote reference"/>
    <w:basedOn w:val="DefaultParagraphFont"/>
    <w:uiPriority w:val="99"/>
    <w:semiHidden/>
    <w:unhideWhenUsed/>
    <w:rsid w:val="00B07D80"/>
    <w:rPr>
      <w:vertAlign w:val="superscript"/>
    </w:rPr>
  </w:style>
  <w:style w:type="character" w:styleId="CommentReference">
    <w:name w:val="annotation reference"/>
    <w:basedOn w:val="DefaultParagraphFont"/>
    <w:uiPriority w:val="99"/>
    <w:semiHidden/>
    <w:unhideWhenUsed/>
    <w:rsid w:val="00B07D80"/>
    <w:rPr>
      <w:sz w:val="16"/>
      <w:szCs w:val="16"/>
    </w:rPr>
  </w:style>
  <w:style w:type="paragraph" w:styleId="BalloonText">
    <w:name w:val="Balloon Text"/>
    <w:basedOn w:val="Normal"/>
    <w:link w:val="BalloonTextChar"/>
    <w:uiPriority w:val="99"/>
    <w:semiHidden/>
    <w:unhideWhenUsed/>
    <w:rsid w:val="00B07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D80"/>
    <w:rPr>
      <w:rFonts w:ascii="Segoe U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B07D80"/>
    <w:rPr>
      <w:rFonts w:ascii="Times New Roman" w:hAnsi="Times New Roman"/>
      <w:b/>
      <w:bCs/>
      <w:sz w:val="20"/>
    </w:rPr>
  </w:style>
  <w:style w:type="character" w:customStyle="1" w:styleId="CommentSubjectChar">
    <w:name w:val="Comment Subject Char"/>
    <w:basedOn w:val="CommentTextChar"/>
    <w:link w:val="CommentSubject"/>
    <w:uiPriority w:val="99"/>
    <w:semiHidden/>
    <w:rsid w:val="00B07D80"/>
    <w:rPr>
      <w:rFonts w:ascii="Times New Roman" w:hAnsi="Times New Roman"/>
      <w:b/>
      <w:bCs/>
      <w:sz w:val="20"/>
      <w:szCs w:val="20"/>
      <w:lang w:val="en-US" w:bidi="en-US"/>
    </w:rPr>
  </w:style>
  <w:style w:type="character" w:styleId="Strong">
    <w:name w:val="Strong"/>
    <w:basedOn w:val="DefaultParagraphFont"/>
    <w:uiPriority w:val="22"/>
    <w:qFormat/>
    <w:rsid w:val="00B07D80"/>
    <w:rPr>
      <w:b/>
      <w:bCs/>
    </w:rPr>
  </w:style>
  <w:style w:type="character" w:styleId="Hyperlink">
    <w:name w:val="Hyperlink"/>
    <w:basedOn w:val="DefaultParagraphFont"/>
    <w:uiPriority w:val="99"/>
    <w:unhideWhenUsed/>
    <w:rsid w:val="00B07D80"/>
    <w:rPr>
      <w:color w:val="0000FF"/>
      <w:u w:val="single"/>
    </w:rPr>
  </w:style>
  <w:style w:type="paragraph" w:styleId="Header">
    <w:name w:val="header"/>
    <w:basedOn w:val="Normal"/>
    <w:link w:val="HeaderChar"/>
    <w:uiPriority w:val="99"/>
    <w:unhideWhenUsed/>
    <w:rsid w:val="00B07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D80"/>
    <w:rPr>
      <w:rFonts w:ascii="Times New Roman" w:hAnsi="Times New Roman"/>
      <w:lang w:bidi="en-US"/>
    </w:rPr>
  </w:style>
  <w:style w:type="paragraph" w:styleId="Footer">
    <w:name w:val="footer"/>
    <w:basedOn w:val="Normal"/>
    <w:link w:val="FooterChar"/>
    <w:uiPriority w:val="99"/>
    <w:unhideWhenUsed/>
    <w:rsid w:val="00B07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D80"/>
    <w:rPr>
      <w:rFonts w:ascii="Times New Roman" w:hAnsi="Times New Roman"/>
      <w:lang w:bidi="en-US"/>
    </w:rPr>
  </w:style>
  <w:style w:type="paragraph" w:styleId="Caption">
    <w:name w:val="caption"/>
    <w:basedOn w:val="Normal"/>
    <w:next w:val="Normal"/>
    <w:uiPriority w:val="35"/>
    <w:unhideWhenUsed/>
    <w:qFormat/>
    <w:rsid w:val="00B07D80"/>
    <w:pPr>
      <w:spacing w:line="240" w:lineRule="auto"/>
      <w:jc w:val="center"/>
    </w:pPr>
    <w:rPr>
      <w:b/>
      <w:i/>
      <w:iCs/>
      <w:szCs w:val="18"/>
      <w:u w:val="single"/>
    </w:rPr>
  </w:style>
  <w:style w:type="table" w:styleId="TableGrid">
    <w:name w:val="Table Grid"/>
    <w:basedOn w:val="TableNormal"/>
    <w:uiPriority w:val="39"/>
    <w:rsid w:val="00B0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07D80"/>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B07D80"/>
    <w:rPr>
      <w:rFonts w:ascii="Times New Roman" w:hAnsi="Times New Roman" w:cs="Times New Roman"/>
      <w:noProof/>
      <w:lang w:val="en-US" w:bidi="en-US"/>
    </w:rPr>
  </w:style>
  <w:style w:type="paragraph" w:customStyle="1" w:styleId="EndNoteBibliography">
    <w:name w:val="EndNote Bibliography"/>
    <w:basedOn w:val="Normal"/>
    <w:link w:val="EndNoteBibliographyChar"/>
    <w:rsid w:val="00B07D80"/>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B07D80"/>
    <w:rPr>
      <w:rFonts w:ascii="Times New Roman" w:hAnsi="Times New Roman" w:cs="Times New Roman"/>
      <w:noProof/>
      <w:lang w:val="en-US" w:bidi="en-US"/>
    </w:rPr>
  </w:style>
  <w:style w:type="character" w:styleId="FollowedHyperlink">
    <w:name w:val="FollowedHyperlink"/>
    <w:basedOn w:val="DefaultParagraphFont"/>
    <w:uiPriority w:val="99"/>
    <w:semiHidden/>
    <w:unhideWhenUsed/>
    <w:rsid w:val="00447A69"/>
    <w:rPr>
      <w:color w:val="954F72" w:themeColor="followedHyperlink"/>
      <w:u w:val="single"/>
    </w:rPr>
  </w:style>
  <w:style w:type="paragraph" w:styleId="Revision">
    <w:name w:val="Revision"/>
    <w:hidden/>
    <w:uiPriority w:val="99"/>
    <w:semiHidden/>
    <w:rsid w:val="0042127D"/>
    <w:pPr>
      <w:spacing w:after="0" w:line="240" w:lineRule="auto"/>
    </w:pPr>
    <w:rPr>
      <w:rFonts w:ascii="Times New Roman" w:hAnsi="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E6"/>
    <w:pPr>
      <w:spacing w:after="240" w:line="480" w:lineRule="auto"/>
    </w:pPr>
    <w:rPr>
      <w:rFonts w:ascii="Times New Roman" w:hAnsi="Times New Roman"/>
      <w:lang w:bidi="en-US"/>
    </w:rPr>
  </w:style>
  <w:style w:type="paragraph" w:styleId="Heading1">
    <w:name w:val="heading 1"/>
    <w:basedOn w:val="Normal"/>
    <w:next w:val="Normal"/>
    <w:link w:val="Heading1Char"/>
    <w:uiPriority w:val="9"/>
    <w:qFormat/>
    <w:rsid w:val="001B3F98"/>
    <w:pPr>
      <w:keepNext/>
      <w:keepLines/>
      <w:spacing w:before="24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6AFC"/>
    <w:pPr>
      <w:keepNext/>
      <w:keepLines/>
      <w:spacing w:before="48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B3F98"/>
    <w:pPr>
      <w:keepNext/>
      <w:keepLines/>
      <w:spacing w:before="240" w:line="240"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B07D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F98"/>
    <w:rPr>
      <w:rFonts w:asciiTheme="majorHAnsi" w:eastAsiaTheme="majorEastAsia" w:hAnsiTheme="majorHAnsi" w:cstheme="majorBidi"/>
      <w:color w:val="2E74B5" w:themeColor="accent1" w:themeShade="BF"/>
      <w:sz w:val="32"/>
      <w:szCs w:val="32"/>
      <w:lang w:bidi="en-US"/>
    </w:rPr>
  </w:style>
  <w:style w:type="character" w:customStyle="1" w:styleId="Heading2Char">
    <w:name w:val="Heading 2 Char"/>
    <w:basedOn w:val="DefaultParagraphFont"/>
    <w:link w:val="Heading2"/>
    <w:uiPriority w:val="9"/>
    <w:rsid w:val="00746AFC"/>
    <w:rPr>
      <w:rFonts w:asciiTheme="majorHAnsi" w:eastAsiaTheme="majorEastAsia" w:hAnsiTheme="majorHAnsi" w:cstheme="majorBidi"/>
      <w:b/>
      <w:color w:val="2E74B5" w:themeColor="accent1" w:themeShade="BF"/>
      <w:sz w:val="26"/>
      <w:szCs w:val="26"/>
      <w:lang w:bidi="en-US"/>
    </w:rPr>
  </w:style>
  <w:style w:type="character" w:customStyle="1" w:styleId="Heading3Char">
    <w:name w:val="Heading 3 Char"/>
    <w:basedOn w:val="DefaultParagraphFont"/>
    <w:link w:val="Heading3"/>
    <w:uiPriority w:val="9"/>
    <w:rsid w:val="001B3F98"/>
    <w:rPr>
      <w:rFonts w:asciiTheme="majorHAnsi" w:eastAsiaTheme="majorEastAsia" w:hAnsiTheme="majorHAnsi" w:cstheme="majorBidi"/>
      <w:color w:val="1F4D78" w:themeColor="accent1" w:themeShade="7F"/>
      <w:sz w:val="24"/>
      <w:lang w:bidi="en-US"/>
    </w:rPr>
  </w:style>
  <w:style w:type="character" w:customStyle="1" w:styleId="Heading4Char">
    <w:name w:val="Heading 4 Char"/>
    <w:basedOn w:val="DefaultParagraphFont"/>
    <w:link w:val="Heading4"/>
    <w:uiPriority w:val="9"/>
    <w:rsid w:val="00B07D80"/>
    <w:rPr>
      <w:rFonts w:asciiTheme="majorHAnsi" w:eastAsiaTheme="majorEastAsia" w:hAnsiTheme="majorHAnsi" w:cstheme="majorBidi"/>
      <w:i/>
      <w:iCs/>
      <w:color w:val="2E74B5" w:themeColor="accent1" w:themeShade="BF"/>
      <w:lang w:bidi="en-US"/>
    </w:rPr>
  </w:style>
  <w:style w:type="paragraph" w:styleId="ListParagraph">
    <w:name w:val="List Paragraph"/>
    <w:basedOn w:val="Normal"/>
    <w:uiPriority w:val="34"/>
    <w:qFormat/>
    <w:rsid w:val="00B07D80"/>
    <w:pPr>
      <w:spacing w:after="120"/>
      <w:ind w:left="720"/>
    </w:pPr>
  </w:style>
  <w:style w:type="paragraph" w:styleId="CommentText">
    <w:name w:val="annotation text"/>
    <w:basedOn w:val="Normal"/>
    <w:link w:val="CommentTextChar"/>
    <w:uiPriority w:val="99"/>
    <w:unhideWhenUsed/>
    <w:rsid w:val="00B07D80"/>
    <w:pPr>
      <w:spacing w:line="240" w:lineRule="auto"/>
    </w:pPr>
    <w:rPr>
      <w:rFonts w:ascii="Arial" w:hAnsi="Arial"/>
      <w:szCs w:val="20"/>
      <w:lang w:val="en-US"/>
    </w:rPr>
  </w:style>
  <w:style w:type="character" w:customStyle="1" w:styleId="CommentTextChar">
    <w:name w:val="Comment Text Char"/>
    <w:basedOn w:val="DefaultParagraphFont"/>
    <w:link w:val="CommentText"/>
    <w:uiPriority w:val="99"/>
    <w:rsid w:val="00B07D80"/>
    <w:rPr>
      <w:rFonts w:ascii="Arial" w:hAnsi="Arial"/>
      <w:szCs w:val="20"/>
      <w:lang w:val="en-US" w:bidi="en-US"/>
    </w:rPr>
  </w:style>
  <w:style w:type="paragraph" w:styleId="FootnoteText">
    <w:name w:val="footnote text"/>
    <w:basedOn w:val="Normal"/>
    <w:link w:val="FootnoteTextChar"/>
    <w:uiPriority w:val="99"/>
    <w:unhideWhenUsed/>
    <w:rsid w:val="00B07D80"/>
    <w:pPr>
      <w:spacing w:after="0" w:line="240" w:lineRule="auto"/>
    </w:pPr>
    <w:rPr>
      <w:sz w:val="20"/>
      <w:szCs w:val="20"/>
    </w:rPr>
  </w:style>
  <w:style w:type="character" w:customStyle="1" w:styleId="FootnoteTextChar">
    <w:name w:val="Footnote Text Char"/>
    <w:basedOn w:val="DefaultParagraphFont"/>
    <w:link w:val="FootnoteText"/>
    <w:uiPriority w:val="99"/>
    <w:rsid w:val="00B07D80"/>
    <w:rPr>
      <w:rFonts w:ascii="Times New Roman" w:hAnsi="Times New Roman"/>
      <w:sz w:val="20"/>
      <w:szCs w:val="20"/>
      <w:lang w:bidi="en-US"/>
    </w:rPr>
  </w:style>
  <w:style w:type="character" w:styleId="FootnoteReference">
    <w:name w:val="footnote reference"/>
    <w:basedOn w:val="DefaultParagraphFont"/>
    <w:uiPriority w:val="99"/>
    <w:semiHidden/>
    <w:unhideWhenUsed/>
    <w:rsid w:val="00B07D80"/>
    <w:rPr>
      <w:vertAlign w:val="superscript"/>
    </w:rPr>
  </w:style>
  <w:style w:type="character" w:styleId="CommentReference">
    <w:name w:val="annotation reference"/>
    <w:basedOn w:val="DefaultParagraphFont"/>
    <w:uiPriority w:val="99"/>
    <w:semiHidden/>
    <w:unhideWhenUsed/>
    <w:rsid w:val="00B07D80"/>
    <w:rPr>
      <w:sz w:val="16"/>
      <w:szCs w:val="16"/>
    </w:rPr>
  </w:style>
  <w:style w:type="paragraph" w:styleId="BalloonText">
    <w:name w:val="Balloon Text"/>
    <w:basedOn w:val="Normal"/>
    <w:link w:val="BalloonTextChar"/>
    <w:uiPriority w:val="99"/>
    <w:semiHidden/>
    <w:unhideWhenUsed/>
    <w:rsid w:val="00B07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D80"/>
    <w:rPr>
      <w:rFonts w:ascii="Segoe UI"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B07D80"/>
    <w:rPr>
      <w:rFonts w:ascii="Times New Roman" w:hAnsi="Times New Roman"/>
      <w:b/>
      <w:bCs/>
      <w:sz w:val="20"/>
    </w:rPr>
  </w:style>
  <w:style w:type="character" w:customStyle="1" w:styleId="CommentSubjectChar">
    <w:name w:val="Comment Subject Char"/>
    <w:basedOn w:val="CommentTextChar"/>
    <w:link w:val="CommentSubject"/>
    <w:uiPriority w:val="99"/>
    <w:semiHidden/>
    <w:rsid w:val="00B07D80"/>
    <w:rPr>
      <w:rFonts w:ascii="Times New Roman" w:hAnsi="Times New Roman"/>
      <w:b/>
      <w:bCs/>
      <w:sz w:val="20"/>
      <w:szCs w:val="20"/>
      <w:lang w:val="en-US" w:bidi="en-US"/>
    </w:rPr>
  </w:style>
  <w:style w:type="character" w:styleId="Strong">
    <w:name w:val="Strong"/>
    <w:basedOn w:val="DefaultParagraphFont"/>
    <w:uiPriority w:val="22"/>
    <w:qFormat/>
    <w:rsid w:val="00B07D80"/>
    <w:rPr>
      <w:b/>
      <w:bCs/>
    </w:rPr>
  </w:style>
  <w:style w:type="character" w:styleId="Hyperlink">
    <w:name w:val="Hyperlink"/>
    <w:basedOn w:val="DefaultParagraphFont"/>
    <w:uiPriority w:val="99"/>
    <w:unhideWhenUsed/>
    <w:rsid w:val="00B07D80"/>
    <w:rPr>
      <w:color w:val="0000FF"/>
      <w:u w:val="single"/>
    </w:rPr>
  </w:style>
  <w:style w:type="paragraph" w:styleId="Header">
    <w:name w:val="header"/>
    <w:basedOn w:val="Normal"/>
    <w:link w:val="HeaderChar"/>
    <w:uiPriority w:val="99"/>
    <w:unhideWhenUsed/>
    <w:rsid w:val="00B07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D80"/>
    <w:rPr>
      <w:rFonts w:ascii="Times New Roman" w:hAnsi="Times New Roman"/>
      <w:lang w:bidi="en-US"/>
    </w:rPr>
  </w:style>
  <w:style w:type="paragraph" w:styleId="Footer">
    <w:name w:val="footer"/>
    <w:basedOn w:val="Normal"/>
    <w:link w:val="FooterChar"/>
    <w:uiPriority w:val="99"/>
    <w:unhideWhenUsed/>
    <w:rsid w:val="00B07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D80"/>
    <w:rPr>
      <w:rFonts w:ascii="Times New Roman" w:hAnsi="Times New Roman"/>
      <w:lang w:bidi="en-US"/>
    </w:rPr>
  </w:style>
  <w:style w:type="paragraph" w:styleId="Caption">
    <w:name w:val="caption"/>
    <w:basedOn w:val="Normal"/>
    <w:next w:val="Normal"/>
    <w:uiPriority w:val="35"/>
    <w:unhideWhenUsed/>
    <w:qFormat/>
    <w:rsid w:val="00B07D80"/>
    <w:pPr>
      <w:spacing w:line="240" w:lineRule="auto"/>
      <w:jc w:val="center"/>
    </w:pPr>
    <w:rPr>
      <w:b/>
      <w:i/>
      <w:iCs/>
      <w:szCs w:val="18"/>
      <w:u w:val="single"/>
    </w:rPr>
  </w:style>
  <w:style w:type="table" w:styleId="TableGrid">
    <w:name w:val="Table Grid"/>
    <w:basedOn w:val="TableNormal"/>
    <w:uiPriority w:val="39"/>
    <w:rsid w:val="00B07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07D80"/>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B07D80"/>
    <w:rPr>
      <w:rFonts w:ascii="Times New Roman" w:hAnsi="Times New Roman" w:cs="Times New Roman"/>
      <w:noProof/>
      <w:lang w:val="en-US" w:bidi="en-US"/>
    </w:rPr>
  </w:style>
  <w:style w:type="paragraph" w:customStyle="1" w:styleId="EndNoteBibliography">
    <w:name w:val="EndNote Bibliography"/>
    <w:basedOn w:val="Normal"/>
    <w:link w:val="EndNoteBibliographyChar"/>
    <w:rsid w:val="00B07D80"/>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B07D80"/>
    <w:rPr>
      <w:rFonts w:ascii="Times New Roman" w:hAnsi="Times New Roman" w:cs="Times New Roman"/>
      <w:noProof/>
      <w:lang w:val="en-US" w:bidi="en-US"/>
    </w:rPr>
  </w:style>
  <w:style w:type="character" w:styleId="FollowedHyperlink">
    <w:name w:val="FollowedHyperlink"/>
    <w:basedOn w:val="DefaultParagraphFont"/>
    <w:uiPriority w:val="99"/>
    <w:semiHidden/>
    <w:unhideWhenUsed/>
    <w:rsid w:val="00447A69"/>
    <w:rPr>
      <w:color w:val="954F72" w:themeColor="followedHyperlink"/>
      <w:u w:val="single"/>
    </w:rPr>
  </w:style>
  <w:style w:type="paragraph" w:styleId="Revision">
    <w:name w:val="Revision"/>
    <w:hidden/>
    <w:uiPriority w:val="99"/>
    <w:semiHidden/>
    <w:rsid w:val="0042127D"/>
    <w:pPr>
      <w:spacing w:after="0" w:line="240" w:lineRule="auto"/>
    </w:pPr>
    <w:rPr>
      <w:rFonts w:ascii="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949885">
      <w:bodyDiv w:val="1"/>
      <w:marLeft w:val="0"/>
      <w:marRight w:val="0"/>
      <w:marTop w:val="0"/>
      <w:marBottom w:val="0"/>
      <w:divBdr>
        <w:top w:val="none" w:sz="0" w:space="0" w:color="auto"/>
        <w:left w:val="none" w:sz="0" w:space="0" w:color="auto"/>
        <w:bottom w:val="none" w:sz="0" w:space="0" w:color="auto"/>
        <w:right w:val="none" w:sz="0" w:space="0" w:color="auto"/>
      </w:divBdr>
    </w:div>
    <w:div w:id="16067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socscimed.2016.03.03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19894</Words>
  <Characters>113397</Characters>
  <Application>Microsoft Office Word</Application>
  <DocSecurity>0</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133025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Baumberg</dc:creator>
  <cp:lastModifiedBy>Ben Baumberg</cp:lastModifiedBy>
  <cp:revision>3</cp:revision>
  <dcterms:created xsi:type="dcterms:W3CDTF">2016-04-25T14:43:00Z</dcterms:created>
  <dcterms:modified xsi:type="dcterms:W3CDTF">2016-04-25T14:49:00Z</dcterms:modified>
</cp:coreProperties>
</file>