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6F2A5" w14:textId="77777777" w:rsidR="00810AB7" w:rsidRDefault="00810AB7">
      <w:pPr>
        <w:spacing w:after="160" w:line="259" w:lineRule="auto"/>
        <w:rPr>
          <w:rFonts w:ascii="Calibri" w:hAnsi="Calibri"/>
          <w:i/>
          <w:iCs/>
          <w:szCs w:val="22"/>
        </w:rPr>
      </w:pPr>
    </w:p>
    <w:p w14:paraId="0CA57F5F" w14:textId="613322C4" w:rsidR="00810AB7" w:rsidRDefault="00810AB7">
      <w:pPr>
        <w:spacing w:after="160" w:line="259" w:lineRule="auto"/>
        <w:rPr>
          <w:rFonts w:ascii="Calibri" w:hAnsi="Calibri"/>
          <w:szCs w:val="22"/>
        </w:rPr>
      </w:pPr>
      <w:r>
        <w:rPr>
          <w:rFonts w:ascii="Calibri" w:hAnsi="Calibri"/>
          <w:i/>
          <w:iCs/>
          <w:szCs w:val="22"/>
        </w:rPr>
        <w:t xml:space="preserve">This is a post-peer-review, pre-copy edited version of an article published in the Journal of </w:t>
      </w:r>
      <w:r>
        <w:rPr>
          <w:rFonts w:ascii="Calibri" w:hAnsi="Calibri"/>
          <w:i/>
          <w:iCs/>
          <w:szCs w:val="22"/>
        </w:rPr>
        <w:t>Social Policy</w:t>
      </w:r>
      <w:r>
        <w:rPr>
          <w:rFonts w:ascii="Calibri" w:hAnsi="Calibri"/>
          <w:i/>
          <w:iCs/>
          <w:szCs w:val="22"/>
        </w:rPr>
        <w:t xml:space="preserve">. The definitive publisher-authenticated version of </w:t>
      </w:r>
      <w:r w:rsidR="00285A91">
        <w:rPr>
          <w:rFonts w:ascii="Calibri" w:hAnsi="Calibri"/>
          <w:i/>
          <w:iCs/>
          <w:szCs w:val="22"/>
        </w:rPr>
        <w:t>‘</w:t>
      </w:r>
      <w:r w:rsidR="00285A91" w:rsidRPr="00285A91">
        <w:rPr>
          <w:rFonts w:ascii="Calibri" w:hAnsi="Calibri"/>
          <w:i/>
          <w:iCs/>
          <w:szCs w:val="22"/>
        </w:rPr>
        <w:t>The stigma of claiming benefits: a quantitative study</w:t>
      </w:r>
      <w:r w:rsidR="00285A91">
        <w:rPr>
          <w:rFonts w:ascii="Calibri" w:hAnsi="Calibri"/>
          <w:i/>
          <w:iCs/>
          <w:szCs w:val="22"/>
        </w:rPr>
        <w:t>;</w:t>
      </w:r>
      <w:r w:rsidR="00285A91" w:rsidRPr="00285A91">
        <w:rPr>
          <w:rFonts w:ascii="Calibri" w:hAnsi="Calibri"/>
          <w:i/>
          <w:iCs/>
          <w:szCs w:val="22"/>
        </w:rPr>
        <w:t xml:space="preserve"> (Baumberg 2016)</w:t>
      </w:r>
      <w:r w:rsidR="00285A91">
        <w:rPr>
          <w:rFonts w:ascii="Calibri" w:hAnsi="Calibri"/>
          <w:i/>
          <w:iCs/>
          <w:szCs w:val="22"/>
        </w:rPr>
        <w:t xml:space="preserve"> in the</w:t>
      </w:r>
      <w:r w:rsidR="00285A91" w:rsidRPr="00285A91">
        <w:rPr>
          <w:rFonts w:ascii="Calibri" w:hAnsi="Calibri"/>
          <w:i/>
          <w:iCs/>
          <w:szCs w:val="22"/>
        </w:rPr>
        <w:t xml:space="preserve"> Journal o</w:t>
      </w:r>
      <w:r w:rsidR="00285A91">
        <w:rPr>
          <w:rFonts w:ascii="Calibri" w:hAnsi="Calibri"/>
          <w:i/>
          <w:iCs/>
          <w:szCs w:val="22"/>
        </w:rPr>
        <w:t>f Social Policy, 45(2):181-189,</w:t>
      </w:r>
      <w:r>
        <w:rPr>
          <w:rFonts w:ascii="Calibri" w:hAnsi="Calibri"/>
          <w:i/>
          <w:iCs/>
          <w:szCs w:val="22"/>
        </w:rPr>
        <w:t xml:space="preserve"> is available at </w:t>
      </w:r>
      <w:hyperlink r:id="rId9" w:history="1">
        <w:r w:rsidR="00285A91" w:rsidRPr="00110424">
          <w:rPr>
            <w:rStyle w:val="Hyperlink"/>
            <w:rFonts w:ascii="Calibri" w:hAnsi="Calibri"/>
            <w:szCs w:val="22"/>
          </w:rPr>
          <w:t>http://dx.doi.org/10.1017/S0047279415000525</w:t>
        </w:r>
      </w:hyperlink>
      <w:r w:rsidR="00285A91">
        <w:rPr>
          <w:rFonts w:ascii="Calibri" w:hAnsi="Calibri"/>
          <w:szCs w:val="22"/>
        </w:rPr>
        <w:t xml:space="preserve"> </w:t>
      </w:r>
      <w:bookmarkStart w:id="0" w:name="_GoBack"/>
      <w:bookmarkEnd w:id="0"/>
    </w:p>
    <w:p w14:paraId="71BA6D21" w14:textId="44140B6B" w:rsidR="00810AB7" w:rsidRDefault="00810AB7">
      <w:pPr>
        <w:spacing w:after="160" w:line="259" w:lineRule="auto"/>
        <w:rPr>
          <w:rFonts w:asciiTheme="majorHAnsi" w:eastAsiaTheme="majorEastAsia" w:hAnsiTheme="majorHAnsi" w:cstheme="majorBidi"/>
          <w:color w:val="2E74B5" w:themeColor="accent1" w:themeShade="BF"/>
          <w:sz w:val="32"/>
          <w:szCs w:val="32"/>
        </w:rPr>
      </w:pPr>
      <w:r>
        <w:br w:type="page"/>
      </w:r>
    </w:p>
    <w:p w14:paraId="62E632D2" w14:textId="09F75D14" w:rsidR="00901C82" w:rsidRDefault="00901C82" w:rsidP="00901C82">
      <w:pPr>
        <w:pStyle w:val="Heading1"/>
      </w:pPr>
      <w:r>
        <w:lastRenderedPageBreak/>
        <w:t xml:space="preserve">The stigma of claiming benefits: a </w:t>
      </w:r>
      <w:r w:rsidR="00460402">
        <w:t>quantitative study</w:t>
      </w:r>
    </w:p>
    <w:p w14:paraId="34388352" w14:textId="77777777" w:rsidR="00901C82" w:rsidRDefault="00901C82" w:rsidP="00901C82">
      <w:pPr>
        <w:pStyle w:val="Heading2"/>
      </w:pPr>
      <w:r>
        <w:t>Abstract</w:t>
      </w:r>
    </w:p>
    <w:p w14:paraId="6D723AAF" w14:textId="2C096A29" w:rsidR="005E2FA4" w:rsidRDefault="005E2FA4" w:rsidP="005E2FA4">
      <w:r>
        <w:t xml:space="preserve">Stigma has long been viewed by some as essential to discourage excessive claims, yet seen by others as a cause of non-take-up by people in need and as a form of symbolic violence.  More recently, there has been a resurgence of interest in the links between shame and poverty (including the role of benefits), and particular concerns about media/political rhetoric in the UK.  Yet while our knowledge of benefits stigma has been enhanced by theoretical/qualitative contributions, few quantitative studies examine its extent or patterning.  This paper therefore reports the results of a 2012 nationally-representative survey in the UK.  It finds sub-types of stigma are reported by 10-19% per benefit, but 34% report either </w:t>
      </w:r>
      <w:r w:rsidR="00526629">
        <w:t xml:space="preserve">personal </w:t>
      </w:r>
      <w:r>
        <w:t>stigma (</w:t>
      </w:r>
      <w:r w:rsidR="00526629">
        <w:t>their own view</w:t>
      </w:r>
      <w:r>
        <w:t xml:space="preserve">) or stigmatisation (perceived </w:t>
      </w:r>
      <w:r w:rsidR="0019023E">
        <w:t xml:space="preserve">stigma </w:t>
      </w:r>
      <w:r>
        <w:t xml:space="preserve">by others) for at least one benefit, and over one-quarter say a stigma-related reason would make them less likely to claim.  One-third of claimants themselves report some degree of </w:t>
      </w:r>
      <w:r w:rsidR="0019023E">
        <w:t xml:space="preserve">stigma </w:t>
      </w:r>
      <w:r>
        <w:t xml:space="preserve">around their claim.  Against the predictions of ‘dependency culture’ claims, however, respondents in high-claim areas were </w:t>
      </w:r>
      <w:r>
        <w:rPr>
          <w:i/>
        </w:rPr>
        <w:t xml:space="preserve">more </w:t>
      </w:r>
      <w:r>
        <w:t xml:space="preserve">likely to stigmatise benefits, both before and after accounting for other factors.  The paper concludes by considering lessons for future </w:t>
      </w:r>
      <w:r w:rsidR="008C65B7">
        <w:t xml:space="preserve">benefits </w:t>
      </w:r>
      <w:r>
        <w:t xml:space="preserve">stigma studies, and policy options to reduce </w:t>
      </w:r>
      <w:r w:rsidR="008C65B7">
        <w:t xml:space="preserve">benefits </w:t>
      </w:r>
      <w:r>
        <w:t>stigma.</w:t>
      </w:r>
    </w:p>
    <w:p w14:paraId="63658ED8" w14:textId="77777777" w:rsidR="005849B4" w:rsidRDefault="005849B4" w:rsidP="007B02DA"/>
    <w:p w14:paraId="141283CA" w14:textId="77777777" w:rsidR="007B02DA" w:rsidRDefault="007B02DA" w:rsidP="00E04824">
      <w:pPr>
        <w:pStyle w:val="Heading4"/>
      </w:pPr>
      <w:r>
        <w:t>Key words</w:t>
      </w:r>
    </w:p>
    <w:p w14:paraId="25568FEF" w14:textId="003A6311" w:rsidR="007B02DA" w:rsidRDefault="008C2D6F" w:rsidP="007B02DA">
      <w:r>
        <w:t>Benefits; social security; welfare; stigma; shame; take-up; survey</w:t>
      </w:r>
    </w:p>
    <w:p w14:paraId="04DC9C78" w14:textId="77777777" w:rsidR="007B02DA" w:rsidRPr="007B02DA" w:rsidRDefault="007B02DA" w:rsidP="007B02DA"/>
    <w:p w14:paraId="1E6B5680" w14:textId="77777777" w:rsidR="00E04824" w:rsidRDefault="00E04824" w:rsidP="00E04824">
      <w:pPr>
        <w:pStyle w:val="Heading4"/>
      </w:pPr>
      <w:r>
        <w:t>Word count</w:t>
      </w:r>
    </w:p>
    <w:p w14:paraId="27B8CB04" w14:textId="30121650" w:rsidR="00A7007B" w:rsidRPr="00A7007B" w:rsidRDefault="00D975D6" w:rsidP="00A7007B">
      <w:r>
        <w:t xml:space="preserve">7993 </w:t>
      </w:r>
      <w:r w:rsidR="00A7007B">
        <w:t>words</w:t>
      </w:r>
      <w:r w:rsidR="00633ABD">
        <w:t xml:space="preserve"> inc. tables, abstract/keywords, acknowledgements, bibliography, notes etc</w:t>
      </w:r>
      <w:r>
        <w:t>, excluding sub-section: ‘word count’ and title</w:t>
      </w:r>
      <w:r w:rsidR="00A7007B">
        <w:t>.</w:t>
      </w:r>
    </w:p>
    <w:p w14:paraId="00021CAE" w14:textId="77777777" w:rsidR="00901C82" w:rsidRDefault="00901C82" w:rsidP="00901C82"/>
    <w:p w14:paraId="6E3F918A" w14:textId="77777777" w:rsidR="00263951" w:rsidRDefault="00263951" w:rsidP="00263951">
      <w:pPr>
        <w:pStyle w:val="Heading4"/>
      </w:pPr>
      <w:r>
        <w:t>Acknowledgements</w:t>
      </w:r>
    </w:p>
    <w:p w14:paraId="17BF4EC0" w14:textId="49063E39" w:rsidR="00263951" w:rsidRDefault="00263951" w:rsidP="00263951">
      <w:r>
        <w:t>Thanks are due to the participants in the Ipsos MORI survey (and to Ipsos MORI themselves)</w:t>
      </w:r>
      <w:r w:rsidR="007721E9">
        <w:t xml:space="preserve">, </w:t>
      </w:r>
      <w:r w:rsidR="00D975D6">
        <w:t>to Elizabeth Finn Care/turn2us who funded the original study, and particularly to Kate Bell and Declan Gaffney who were co-authors on the initial project report, and invaluable in helping develop my thinking on stigma.</w:t>
      </w:r>
    </w:p>
    <w:p w14:paraId="1EA9AC31" w14:textId="77777777" w:rsidR="00263951" w:rsidRDefault="00263951" w:rsidP="00901C82">
      <w:pPr>
        <w:sectPr w:rsidR="00263951">
          <w:footerReference w:type="default" r:id="rId10"/>
          <w:pgSz w:w="11906" w:h="16838"/>
          <w:pgMar w:top="1440" w:right="1440" w:bottom="1440" w:left="1440" w:header="708" w:footer="708" w:gutter="0"/>
          <w:cols w:space="708"/>
          <w:docGrid w:linePitch="360"/>
        </w:sectPr>
      </w:pPr>
    </w:p>
    <w:p w14:paraId="6C12F695" w14:textId="77777777" w:rsidR="00901C82" w:rsidRDefault="00901C82" w:rsidP="00901C82">
      <w:pPr>
        <w:pStyle w:val="Heading1"/>
      </w:pPr>
      <w:r>
        <w:lastRenderedPageBreak/>
        <w:t>Introduction</w:t>
      </w:r>
    </w:p>
    <w:p w14:paraId="258FFF92" w14:textId="01395FB1" w:rsidR="007721E9" w:rsidRPr="00996E42" w:rsidRDefault="004654B2" w:rsidP="00316415">
      <w:r>
        <w:t>S</w:t>
      </w:r>
      <w:r w:rsidR="00D07463">
        <w:t xml:space="preserve">tigma </w:t>
      </w:r>
      <w:r>
        <w:t xml:space="preserve">has long been </w:t>
      </w:r>
      <w:r w:rsidR="00D07463">
        <w:t xml:space="preserve">central to debates around social security.  </w:t>
      </w:r>
      <w:r w:rsidR="00316415">
        <w:t xml:space="preserve">Some </w:t>
      </w:r>
      <w:r w:rsidR="00BE0AF3">
        <w:t xml:space="preserve">have always seen </w:t>
      </w:r>
      <w:r w:rsidR="00316415">
        <w:t xml:space="preserve">stigma as essential in discouraging </w:t>
      </w:r>
      <w:r w:rsidR="00996E42">
        <w:t xml:space="preserve">excessive </w:t>
      </w:r>
      <w:r w:rsidR="00316415">
        <w:t xml:space="preserve">claims; </w:t>
      </w:r>
      <w:r w:rsidR="00E225E8">
        <w:t xml:space="preserve">this </w:t>
      </w:r>
      <w:r w:rsidR="00BE0AF3">
        <w:t xml:space="preserve">was the logic of the Victorian workhouse, </w:t>
      </w:r>
      <w:r w:rsidR="00E225E8">
        <w:t xml:space="preserve">is implicit in the economic tradition of </w:t>
      </w:r>
      <w:r w:rsidR="008C65B7">
        <w:t xml:space="preserve">analysing </w:t>
      </w:r>
      <w:r w:rsidR="00E225E8">
        <w:t xml:space="preserve">stigma </w:t>
      </w:r>
      <w:r w:rsidR="00C75157">
        <w:fldChar w:fldCharType="begin"/>
      </w:r>
      <w:r w:rsidR="00C75157">
        <w:instrText xml:space="preserve"> ADDIN EN.CITE &lt;EndNote&gt;&lt;Cite&gt;&lt;Author&gt;Besley&lt;/Author&gt;&lt;Year&gt;1992&lt;/Year&gt;&lt;RecNum&gt;260&lt;/RecNum&gt;&lt;DisplayText&gt;(Besley and Coate, 1992)&lt;/DisplayText&gt;&lt;record&gt;&lt;rec-number&gt;260&lt;/rec-number&gt;&lt;foreign-keys&gt;&lt;key app="EN" db-id="5xatt0094rr92mepzaexd2xzx29appesae0a" timestamp="0"&gt;260&lt;/key&gt;&lt;/foreign-keys&gt;&lt;ref-type name="Journal Article"&gt;17&lt;/ref-type&gt;&lt;contributors&gt;&lt;authors&gt;&lt;author&gt;Besley,T&lt;/author&gt;&lt;author&gt;Coate,S&lt;/author&gt;&lt;/authors&gt;&lt;/contributors&gt;&lt;titles&gt;&lt;title&gt;Understanding welfare stigma: taxpayer resentment and statistical discrimination&lt;/title&gt;&lt;secondary-title&gt;Journal of Public Economics&lt;/secondary-title&gt;&lt;/titles&gt;&lt;periodical&gt;&lt;full-title&gt;Journal of Public Economics&lt;/full-title&gt;&lt;/periodical&gt;&lt;pages&gt;165-183&lt;/pages&gt;&lt;volume&gt;48&lt;/volume&gt;&lt;dates&gt;&lt;year&gt;1992&lt;/year&gt;&lt;/dates&gt;&lt;urls&gt;&lt;/urls&gt;&lt;/record&gt;&lt;/Cite&gt;&lt;/EndNote&gt;</w:instrText>
      </w:r>
      <w:r w:rsidR="00C75157">
        <w:fldChar w:fldCharType="separate"/>
      </w:r>
      <w:r w:rsidR="00C75157">
        <w:rPr>
          <w:noProof/>
        </w:rPr>
        <w:t>(Besley and Coate, 1992)</w:t>
      </w:r>
      <w:r w:rsidR="00C75157">
        <w:fldChar w:fldCharType="end"/>
      </w:r>
      <w:r w:rsidR="00E225E8">
        <w:t xml:space="preserve">, </w:t>
      </w:r>
      <w:r w:rsidR="00BE0AF3">
        <w:t xml:space="preserve">and continues today, with </w:t>
      </w:r>
      <w:r w:rsidR="00316415">
        <w:t xml:space="preserve">the right-wing American commentator Charles Murray </w:t>
      </w:r>
      <w:r w:rsidR="00BE0AF3">
        <w:t xml:space="preserve">arguing </w:t>
      </w:r>
      <w:r w:rsidR="00996E42">
        <w:t xml:space="preserve">that </w:t>
      </w:r>
      <w:r w:rsidR="00316415" w:rsidRPr="00316415">
        <w:rPr>
          <w:i/>
        </w:rPr>
        <w:t>‘</w:t>
      </w:r>
      <w:r w:rsidR="00996E42">
        <w:rPr>
          <w:i/>
        </w:rPr>
        <w:t>s</w:t>
      </w:r>
      <w:r w:rsidR="00316415" w:rsidRPr="00316415">
        <w:rPr>
          <w:i/>
        </w:rPr>
        <w:t xml:space="preserve">tigma </w:t>
      </w:r>
      <w:r w:rsidR="00996E42">
        <w:rPr>
          <w:i/>
        </w:rPr>
        <w:t>m</w:t>
      </w:r>
      <w:r w:rsidR="00316415" w:rsidRPr="00316415">
        <w:rPr>
          <w:i/>
        </w:rPr>
        <w:t xml:space="preserve">akes </w:t>
      </w:r>
      <w:r w:rsidR="00996E42">
        <w:rPr>
          <w:i/>
        </w:rPr>
        <w:t>g</w:t>
      </w:r>
      <w:r w:rsidR="00316415" w:rsidRPr="00316415">
        <w:rPr>
          <w:i/>
        </w:rPr>
        <w:t xml:space="preserve">enerosity </w:t>
      </w:r>
      <w:r w:rsidR="00996E42">
        <w:rPr>
          <w:i/>
        </w:rPr>
        <w:t>f</w:t>
      </w:r>
      <w:r w:rsidR="00316415" w:rsidRPr="00316415">
        <w:rPr>
          <w:i/>
        </w:rPr>
        <w:t>easible’</w:t>
      </w:r>
      <w:r w:rsidR="00316415">
        <w:t>.</w:t>
      </w:r>
      <w:r w:rsidR="007721E9" w:rsidRPr="007721E9">
        <w:rPr>
          <w:vertAlign w:val="superscript"/>
        </w:rPr>
        <w:t>1</w:t>
      </w:r>
      <w:r w:rsidR="007721E9">
        <w:t xml:space="preserve">  Others see stigma as a cause of non-take-up by the very people that benefits are designed to help, and moreover as a stark injustice in its own right.  In a much-cited passage, Robert Pinker </w:t>
      </w:r>
      <w:r w:rsidR="007721E9">
        <w:rPr>
          <w:rFonts w:ascii="Calibri" w:hAnsi="Calibri"/>
          <w:color w:val="000000"/>
          <w:szCs w:val="22"/>
        </w:rPr>
        <w:fldChar w:fldCharType="begin"/>
      </w:r>
      <w:r w:rsidR="007721E9">
        <w:rPr>
          <w:rFonts w:ascii="Calibri" w:hAnsi="Calibri"/>
          <w:color w:val="000000"/>
          <w:szCs w:val="22"/>
        </w:rPr>
        <w:instrText xml:space="preserve"> ADDIN EN.CITE &lt;EndNote&gt;&lt;Cite ExcludeAuth="1"&gt;&lt;Author&gt;Pinker&lt;/Author&gt;&lt;Year&gt;1971&lt;/Year&gt;&lt;RecNum&gt;531&lt;/RecNum&gt;&lt;Suffix&gt;:175&lt;/Suffix&gt;&lt;DisplayText&gt;(1971:175)&lt;/DisplayText&gt;&lt;record&gt;&lt;rec-number&gt;531&lt;/rec-number&gt;&lt;foreign-keys&gt;&lt;key app="EN" db-id="5xatt0094rr92mepzaexd2xzx29appesae0a" timestamp="1407424269"&gt;531&lt;/key&gt;&lt;/foreign-keys&gt;&lt;ref-type name="Book"&gt;6&lt;/ref-type&gt;&lt;contributors&gt;&lt;authors&gt;&lt;author&gt;Robert Pinker&lt;/author&gt;&lt;/authors&gt;&lt;/contributors&gt;&lt;titles&gt;&lt;title&gt;Social Theory and Social Policy&lt;/title&gt;&lt;/titles&gt;&lt;dates&gt;&lt;year&gt;1971&lt;/year&gt;&lt;/dates&gt;&lt;pub-location&gt;London&lt;/pub-location&gt;&lt;publisher&gt;Heinemann Educational Books&lt;/publisher&gt;&lt;urls&gt;&lt;/urls&gt;&lt;/record&gt;&lt;/Cite&gt;&lt;/EndNote&gt;</w:instrText>
      </w:r>
      <w:r w:rsidR="007721E9">
        <w:rPr>
          <w:rFonts w:ascii="Calibri" w:hAnsi="Calibri"/>
          <w:color w:val="000000"/>
          <w:szCs w:val="22"/>
        </w:rPr>
        <w:fldChar w:fldCharType="separate"/>
      </w:r>
      <w:r w:rsidR="007721E9">
        <w:rPr>
          <w:rFonts w:ascii="Calibri" w:hAnsi="Calibri"/>
          <w:noProof/>
          <w:color w:val="000000"/>
          <w:szCs w:val="22"/>
        </w:rPr>
        <w:t>(1971:175)</w:t>
      </w:r>
      <w:r w:rsidR="007721E9">
        <w:rPr>
          <w:rFonts w:ascii="Calibri" w:hAnsi="Calibri"/>
          <w:color w:val="000000"/>
          <w:szCs w:val="22"/>
        </w:rPr>
        <w:fldChar w:fldCharType="end"/>
      </w:r>
      <w:r w:rsidR="007721E9">
        <w:t xml:space="preserve"> went as far as arguing that </w:t>
      </w:r>
      <w:r w:rsidR="007721E9" w:rsidRPr="00996E42">
        <w:rPr>
          <w:i/>
        </w:rPr>
        <w:t xml:space="preserve">‘The imposition of stigma is the commonest form of violence used in democratic societies … </w:t>
      </w:r>
      <w:r w:rsidR="007721E9">
        <w:rPr>
          <w:i/>
        </w:rPr>
        <w:t xml:space="preserve">[It] </w:t>
      </w:r>
      <w:r w:rsidR="007721E9" w:rsidRPr="00996E42">
        <w:rPr>
          <w:i/>
        </w:rPr>
        <w:t>can best be compared to those forms of psychological torture in which the victim is broken psychically and physically but left to all outward appearances unmarked.’</w:t>
      </w:r>
      <w:r w:rsidR="007721E9">
        <w:t xml:space="preserve">  Versions of these debates can be found around poverty relief for centuries </w:t>
      </w:r>
      <w:r w:rsidR="007721E9">
        <w:rPr>
          <w:rFonts w:ascii="Calibri" w:hAnsi="Calibri"/>
          <w:color w:val="000000"/>
          <w:szCs w:val="22"/>
        </w:rPr>
        <w:fldChar w:fldCharType="begin">
          <w:fldData xml:space="preserve">PEVuZE5vdGU+PENpdGU+PEF1dGhvcj5Hb2xkaW5nPC9BdXRob3I+PFllYXI+MTk4MjwvWWVhcj48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</w:fldData>
        </w:fldChar>
      </w:r>
      <w:r w:rsidR="00D975D6">
        <w:rPr>
          <w:rFonts w:ascii="Calibri" w:hAnsi="Calibri"/>
          <w:color w:val="000000"/>
          <w:szCs w:val="22"/>
        </w:rPr>
        <w:instrText xml:space="preserve"> ADDIN EN.CITE </w:instrText>
      </w:r>
      <w:r w:rsidR="00D975D6">
        <w:rPr>
          <w:rFonts w:ascii="Calibri" w:hAnsi="Calibri"/>
          <w:color w:val="000000"/>
          <w:szCs w:val="22"/>
        </w:rPr>
        <w:fldChar w:fldCharType="begin">
          <w:fldData xml:space="preserve">PEVuZE5vdGU+PENpdGU+PEF1dGhvcj5Hb2xkaW5nPC9BdXRob3I+PFllYXI+MTk4MjwvWWVhcj48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</w:fldData>
        </w:fldChar>
      </w:r>
      <w:r w:rsidR="00D975D6">
        <w:rPr>
          <w:rFonts w:ascii="Calibri" w:hAnsi="Calibri"/>
          <w:color w:val="000000"/>
          <w:szCs w:val="22"/>
        </w:rPr>
        <w:instrText xml:space="preserve"> ADDIN EN.CITE.DATA </w:instrText>
      </w:r>
      <w:r w:rsidR="00D975D6">
        <w:rPr>
          <w:rFonts w:ascii="Calibri" w:hAnsi="Calibri"/>
          <w:color w:val="000000"/>
          <w:szCs w:val="22"/>
        </w:rPr>
      </w:r>
      <w:r w:rsidR="00D975D6">
        <w:rPr>
          <w:rFonts w:ascii="Calibri" w:hAnsi="Calibri"/>
          <w:color w:val="000000"/>
          <w:szCs w:val="22"/>
        </w:rPr>
        <w:fldChar w:fldCharType="end"/>
      </w:r>
      <w:r w:rsidR="007721E9">
        <w:rPr>
          <w:rFonts w:ascii="Calibri" w:hAnsi="Calibri"/>
          <w:color w:val="000000"/>
          <w:szCs w:val="22"/>
        </w:rPr>
      </w:r>
      <w:r w:rsidR="007721E9">
        <w:rPr>
          <w:rFonts w:ascii="Calibri" w:hAnsi="Calibri"/>
          <w:color w:val="000000"/>
          <w:szCs w:val="22"/>
        </w:rPr>
        <w:fldChar w:fldCharType="separate"/>
      </w:r>
      <w:r w:rsidR="007721E9">
        <w:rPr>
          <w:rFonts w:ascii="Calibri" w:hAnsi="Calibri"/>
          <w:noProof/>
          <w:color w:val="000000"/>
          <w:szCs w:val="22"/>
        </w:rPr>
        <w:t>(Golding and Middleton, 1982; Page, 1984; Stone, 1984; Spicker, 1984)</w:t>
      </w:r>
      <w:r w:rsidR="007721E9">
        <w:rPr>
          <w:rFonts w:ascii="Calibri" w:hAnsi="Calibri"/>
          <w:color w:val="000000"/>
          <w:szCs w:val="22"/>
        </w:rPr>
        <w:fldChar w:fldCharType="end"/>
      </w:r>
      <w:r w:rsidR="007721E9">
        <w:rPr>
          <w:rFonts w:ascii="Calibri" w:hAnsi="Calibri"/>
          <w:color w:val="000000"/>
          <w:szCs w:val="22"/>
        </w:rPr>
        <w:t xml:space="preserve">.  </w:t>
      </w:r>
    </w:p>
    <w:p w14:paraId="2A394F40" w14:textId="72A3A931" w:rsidR="007721E9" w:rsidRDefault="007721E9" w:rsidP="00316415">
      <w:pPr>
        <w:rPr>
          <w:rFonts w:ascii="Calibri" w:hAnsi="Calibri"/>
          <w:color w:val="000000"/>
          <w:szCs w:val="22"/>
        </w:rPr>
      </w:pPr>
    </w:p>
    <w:p w14:paraId="5181D684" w14:textId="0551551B" w:rsidR="007721E9" w:rsidRDefault="007721E9" w:rsidP="00BA7B36">
      <w:r>
        <w:rPr>
          <w:rFonts w:ascii="Calibri" w:hAnsi="Calibri"/>
          <w:color w:val="000000"/>
          <w:szCs w:val="22"/>
        </w:rPr>
        <w:t xml:space="preserve">Overlaid on this debate, though, there has been a more recent resurgence of interest.  </w:t>
      </w:r>
      <w:r>
        <w:t xml:space="preserve">This has partly been because of an increasing focus among international poverty scholars on the ‘psychosocial’ dimensions of poverty, including disrespect, embarrassment and shame </w:t>
      </w:r>
      <w:r>
        <w:fldChar w:fldCharType="begin"/>
      </w:r>
      <w:r>
        <w:instrText xml:space="preserve"> ADDIN EN.CITE &lt;EndNote&gt;&lt;Cite&gt;&lt;Author&gt;Jo&lt;/Author&gt;&lt;Year&gt;2013&lt;/Year&gt;&lt;RecNum&gt;521&lt;/RecNum&gt;&lt;DisplayText&gt;(Jo, 2013; Pemberton&lt;style face="italic"&gt; et al.&lt;/style&gt;, 2013)&lt;/DisplayText&gt;&lt;record&gt;&lt;rec-number&gt;521&lt;/rec-number&gt;&lt;foreign-keys&gt;&lt;key app="EN" db-id="5xatt0094rr92mepzaexd2xzx29appesae0a" timestamp="1407172717"&gt;521&lt;/key&gt;&lt;/foreign-keys&gt;&lt;ref-type name="Journal Article"&gt;17&lt;/ref-type&gt;&lt;contributors&gt;&lt;authors&gt;&lt;author&gt;Yongmie Nicola Jo&lt;/author&gt;&lt;/authors&gt;&lt;/contributors&gt;&lt;titles&gt;&lt;title&gt;Psycho-social dimensions of poverty: When poverty becomes shameful&lt;/title&gt;&lt;secondary-title&gt;Critical Social Policy&lt;/secondary-title&gt;&lt;/titles&gt;&lt;periodical&gt;&lt;full-title&gt;Critical Social Policy&lt;/full-title&gt;&lt;/periodical&gt;&lt;pages&gt;514-531&lt;/pages&gt;&lt;volume&gt;33&lt;/volume&gt;&lt;dates&gt;&lt;year&gt;2013&lt;/year&gt;&lt;/dates&gt;&lt;urls&gt;&lt;/urls&gt;&lt;electronic-resource-num&gt;10.1177/0261018313479008&lt;/electronic-resource-num&gt;&lt;/record&gt;&lt;/Cite&gt;&lt;Cite&gt;&lt;Author&gt;Pemberton&lt;/Author&gt;&lt;Year&gt;2013&lt;/Year&gt;&lt;RecNum&gt;522&lt;/RecNum&gt;&lt;record&gt;&lt;rec-number&gt;522&lt;/rec-number&gt;&lt;foreign-keys&gt;&lt;key app="EN" db-id="5xatt0094rr92mepzaexd2xzx29appesae0a" timestamp="1407172785"&gt;522&lt;/key&gt;&lt;/foreign-keys&gt;&lt;ref-type name="Report"&gt;27&lt;/ref-type&gt;&lt;contributors&gt;&lt;authors&gt;&lt;author&gt;Simon Pemberton&lt;/author&gt;&lt;author&gt;Eileen Sutton&lt;/author&gt;&lt;author&gt;Eldin Fahmy&lt;/author&gt;&lt;/authors&gt;&lt;/contributors&gt;&lt;titles&gt;&lt;title&gt;A review of the qualitative evidence relating to the experience of poverty and exclusion&lt;/title&gt;&lt;secondary-title&gt;Poverty and Social Exclusion in the UK (PSE) Working Paper - Methods Series No. 22&lt;/secondary-title&gt;&lt;/titles&gt;&lt;dates&gt;&lt;year&gt;2013&lt;/year&gt;&lt;/dates&gt;&lt;urls&gt;&lt;/urls&gt;&lt;/record&gt;&lt;/Cite&gt;&lt;/EndNote&gt;</w:instrText>
      </w:r>
      <w:r>
        <w:fldChar w:fldCharType="separate"/>
      </w:r>
      <w:r>
        <w:rPr>
          <w:noProof/>
        </w:rPr>
        <w:t>(Jo, 2013; Pemberton</w:t>
      </w:r>
      <w:r w:rsidRPr="00C75157">
        <w:rPr>
          <w:i/>
          <w:noProof/>
        </w:rPr>
        <w:t xml:space="preserve"> et al.</w:t>
      </w:r>
      <w:r>
        <w:rPr>
          <w:noProof/>
        </w:rPr>
        <w:t>, 2013)</w:t>
      </w:r>
      <w:r>
        <w:fldChar w:fldCharType="end"/>
      </w:r>
      <w:r>
        <w:t xml:space="preserve">.  A cornerstone has been Amartya Sen’s argument that </w:t>
      </w:r>
      <w:r w:rsidR="00BF27A0">
        <w:t xml:space="preserve">the avoidance of shame is not just part of a relative definition of poverty, but also part of an absolute conception of poverty </w:t>
      </w:r>
      <w:r w:rsidR="00DD3237">
        <w:fldChar w:fldCharType="begin"/>
      </w:r>
      <w:r w:rsidR="00DD3237">
        <w:instrText xml:space="preserve"> ADDIN EN.CITE &lt;EndNote&gt;&lt;Cite&gt;&lt;Author&gt;Sen&lt;/Author&gt;&lt;Year&gt;1983&lt;/Year&gt;&lt;RecNum&gt;576&lt;/RecNum&gt;&lt;Suffix&gt;:167&lt;/Suffix&gt;&lt;DisplayText&gt;(Sen, 1983:167)&lt;/DisplayText&gt;&lt;record&gt;&lt;rec-number&gt;576&lt;/rec-number&gt;&lt;foreign-keys&gt;&lt;key app="EN" db-id="5xatt0094rr92mepzaexd2xzx29appesae0a" timestamp="1429632400"&gt;576&lt;/key&gt;&lt;/foreign-keys&gt;&lt;ref-type name="Journal Article"&gt;17&lt;/ref-type&gt;&lt;contributors&gt;&lt;authors&gt;&lt;author&gt;Amartya Sen&lt;/author&gt;&lt;/authors&gt;&lt;/contributors&gt;&lt;titles&gt;&lt;title&gt;Poor, Relatively Speaking&lt;/title&gt;&lt;secondary-title&gt;Oxford Economic Papers&lt;/secondary-title&gt;&lt;/titles&gt;&lt;periodical&gt;&lt;full-title&gt;Oxford Economic Papers&lt;/full-title&gt;&lt;/periodical&gt;&lt;pages&gt;153-169&lt;/pages&gt;&lt;volume&gt;35&lt;/volume&gt;&lt;number&gt;2&lt;/number&gt;&lt;dates&gt;&lt;year&gt;1983&lt;/year&gt;&lt;/dates&gt;&lt;urls&gt;&lt;related-urls&gt;&lt;url&gt;http://links.jstor.org/sici?sici=0030-7653%28198307%292%3A35%3A2%3C153%3APRS%3E2.0.CO%3B2-1&lt;/url&gt;&lt;/related-urls&gt;&lt;/urls&gt;&lt;/record&gt;&lt;/Cite&gt;&lt;/EndNote&gt;</w:instrText>
      </w:r>
      <w:r w:rsidR="00DD3237">
        <w:fldChar w:fldCharType="separate"/>
      </w:r>
      <w:r w:rsidR="00DD3237">
        <w:rPr>
          <w:noProof/>
        </w:rPr>
        <w:t>(Sen, 1983:167)</w:t>
      </w:r>
      <w:r w:rsidR="00DD3237">
        <w:fldChar w:fldCharType="end"/>
      </w:r>
      <w:r w:rsidR="00BF27A0">
        <w:t>.  T</w:t>
      </w:r>
      <w:r>
        <w:t xml:space="preserve">here is evidence that the shame of poverty is globally universal </w:t>
      </w:r>
      <w:r>
        <w:fldChar w:fldCharType="begin"/>
      </w:r>
      <w:r>
        <w:instrText xml:space="preserve"> ADDIN EN.CITE &lt;EndNote&gt;&lt;Cite&gt;&lt;Author&gt;Walker&lt;/Author&gt;&lt;Year&gt;2013&lt;/Year&gt;&lt;RecNum&gt;523&lt;/RecNum&gt;&lt;DisplayText&gt;(Walker&lt;style face="italic"&gt; et al.&lt;/style&gt;, 2013)&lt;/DisplayText&gt;&lt;record&gt;&lt;rec-number&gt;523&lt;/rec-number&gt;&lt;foreign-keys&gt;&lt;key app="EN" db-id="5xatt0094rr92mepzaexd2xzx29appesae0a" timestamp="1407173621"&gt;523&lt;/key&gt;&lt;/foreign-keys&gt;&lt;ref-type name="Journal Article"&gt;17&lt;/ref-type&gt;&lt;contributors&gt;&lt;authors&gt;&lt;author&gt;Walker, Robert&lt;/author&gt;&lt;author&gt;Kyomuhendo, Grace Bantebya&lt;/author&gt;&lt;author&gt;Chase, Elaine&lt;/author&gt;&lt;author&gt;Choudhry, Sohail&lt;/author&gt;&lt;author&gt;Gubrium, Erika K.&lt;/author&gt;&lt;author&gt;Jo, Yongmie Nicola&lt;/author&gt;&lt;author&gt;Lødemel,Ivar&lt;/author&gt;&lt;author&gt;Mathew,Leemamol&lt;/author&gt;&lt;author&gt;Mwiine,Amon&lt;/author&gt;&lt;author&gt;Pellissery, Sony&lt;/author&gt;&lt;author&gt;Ming,Yan&lt;/author&gt;&lt;/authors&gt;&lt;/contributors&gt;&lt;titles&gt;&lt;title&gt;Poverty in Global Perspective: Is Shame a Common Denominator?&lt;/title&gt;&lt;secondary-title&gt;Journal of Social Policy&lt;/secondary-title&gt;&lt;/titles&gt;&lt;periodical&gt;&lt;full-title&gt;Journal of Social Policy&lt;/full-title&gt;&lt;/periodical&gt;&lt;pages&gt;215-233&lt;/pages&gt;&lt;volume&gt;42&lt;/volume&gt;&lt;number&gt;02&lt;/number&gt;&lt;dates&gt;&lt;year&gt;2013&lt;/year&gt;&lt;/dates&gt;&lt;isbn&gt;1469-7823&lt;/isbn&gt;&lt;urls&gt;&lt;related-urls&gt;&lt;url&gt;http://dx.doi.org/10.1017/S0047279412000979&lt;/url&gt;&lt;/related-urls&gt;&lt;/urls&gt;&lt;electronic-resource-num&gt;doi:10.1017/S0047279412000979&lt;/electronic-resource-num&gt;&lt;access-date&gt;2013&lt;/access-date&gt;&lt;/record&gt;&lt;/Cite&gt;&lt;/EndNote&gt;</w:instrText>
      </w:r>
      <w:r>
        <w:fldChar w:fldCharType="separate"/>
      </w:r>
      <w:r>
        <w:rPr>
          <w:noProof/>
        </w:rPr>
        <w:t>(Walker</w:t>
      </w:r>
      <w:r w:rsidRPr="00C75157">
        <w:rPr>
          <w:i/>
          <w:noProof/>
        </w:rPr>
        <w:t xml:space="preserve"> et al.</w:t>
      </w:r>
      <w:r>
        <w:rPr>
          <w:noProof/>
        </w:rPr>
        <w:t>, 2013)</w:t>
      </w:r>
      <w:r>
        <w:fldChar w:fldCharType="end"/>
      </w:r>
      <w:r w:rsidR="00BF27A0">
        <w:t xml:space="preserve">, and that </w:t>
      </w:r>
      <w:r>
        <w:t xml:space="preserve">benefits stigma itself has been found to contribute to </w:t>
      </w:r>
      <w:r w:rsidR="00BF27A0">
        <w:t xml:space="preserve">it </w:t>
      </w:r>
      <w:r>
        <w:fldChar w:fldCharType="begin">
          <w:fldData xml:space="preserve">PEVuZE5vdGU+PENpdGU+PEF1dGhvcj5XYWxrZXI8L0F1dGhvcj48WWVhcj4yMDEzPC9ZZWFyPjxS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</w:fldData>
        </w:fldChar>
      </w:r>
      <w:r>
        <w:instrText xml:space="preserve"> ADDIN EN.CITE </w:instrText>
      </w:r>
      <w:r>
        <w:fldChar w:fldCharType="begin">
          <w:fldData xml:space="preserve">PEVuZE5vdGU+PENpdGU+PEF1dGhvcj5XYWxrZXI8L0F1dGhvcj48WWVhcj4yMDEzPC9ZZWFyPjxS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</w:fldData>
        </w:fldChar>
      </w:r>
      <w:r>
        <w:instrText xml:space="preserve"> ADDIN EN.CITE.DATA </w:instrText>
      </w:r>
      <w:r>
        <w:fldChar w:fldCharType="end"/>
      </w:r>
      <w:r>
        <w:fldChar w:fldCharType="separate"/>
      </w:r>
      <w:r>
        <w:rPr>
          <w:noProof/>
        </w:rPr>
        <w:t>(Walker</w:t>
      </w:r>
      <w:r w:rsidRPr="00287476">
        <w:rPr>
          <w:i/>
          <w:noProof/>
        </w:rPr>
        <w:t xml:space="preserve"> et al.</w:t>
      </w:r>
      <w:r>
        <w:rPr>
          <w:noProof/>
        </w:rPr>
        <w:t>, 2013:226; Jo, 2013:524; Pemberton</w:t>
      </w:r>
      <w:r w:rsidRPr="00287476">
        <w:rPr>
          <w:i/>
          <w:noProof/>
        </w:rPr>
        <w:t xml:space="preserve"> et al.</w:t>
      </w:r>
      <w:r>
        <w:rPr>
          <w:noProof/>
        </w:rPr>
        <w:t>, 2013:26)</w:t>
      </w:r>
      <w:r>
        <w:fldChar w:fldCharType="end"/>
      </w:r>
      <w:r w:rsidR="00BF27A0">
        <w:t xml:space="preserve">, and </w:t>
      </w:r>
      <w:r w:rsidR="00F27BBD">
        <w:t>we return to the relationship of shame and stigma below</w:t>
      </w:r>
      <w:r w:rsidR="00BF27A0">
        <w:t>.  S</w:t>
      </w:r>
      <w:r>
        <w:t>uch findings have led the International Labour Organization to recommend that social protection floors have ‘</w:t>
      </w:r>
      <w:r w:rsidRPr="00784B41">
        <w:t xml:space="preserve">respect for the rights </w:t>
      </w:r>
      <w:r w:rsidRPr="003C1E6D">
        <w:t>and dignity</w:t>
      </w:r>
      <w:r w:rsidRPr="00784B41">
        <w:t xml:space="preserve"> of people covered by the social security guarantees</w:t>
      </w:r>
      <w:r>
        <w:t xml:space="preserve">’ </w:t>
      </w:r>
      <w:r>
        <w:fldChar w:fldCharType="begin"/>
      </w:r>
      <w:r>
        <w:instrText xml:space="preserve"> ADDIN EN.CITE &lt;EndNote&gt;&lt;Cite&gt;&lt;Author&gt;Gubrium&lt;/Author&gt;&lt;Year&gt;2014&lt;/Year&gt;&lt;RecNum&gt;555&lt;/RecNum&gt;&lt;Suffix&gt;:212&lt;/Suffix&gt;&lt;DisplayText&gt;(Gubrium and Lødemel, 2014:212)&lt;/DisplayText&gt;&lt;record&gt;&lt;rec-number&gt;555&lt;/rec-number&gt;&lt;foreign-keys&gt;&lt;key app="EN" db-id="5xatt0094rr92mepzaexd2xzx29appesae0a" timestamp="1409235721"&gt;555&lt;/key&gt;&lt;/foreign-keys&gt;&lt;ref-type name="Book Section"&gt;5&lt;/ref-type&gt;&lt;contributors&gt;&lt;authors&gt;&lt;author&gt;Erika K Gubrium&lt;/author&gt;&lt;author&gt;Ivar Lødemel&lt;/author&gt;&lt;/authors&gt;&lt;secondary-authors&gt;&lt;author&gt;Erika K Gubrium&lt;/author&gt;&lt;author&gt;Sony Pellissery&lt;/author&gt;&lt;author&gt;Ivar Lødemel&lt;/author&gt;&lt;/secondary-authors&gt;&lt;/contributors&gt;&lt;titles&gt;&lt;title&gt;Towards global priniples for dignity-based anti-poverty policies&lt;/title&gt;&lt;secondary-title&gt;The Shame Of It: global perspectives on anti-poverty policies&lt;/secondary-title&gt;&lt;/titles&gt;&lt;dates&gt;&lt;year&gt;2014&lt;/year&gt;&lt;/dates&gt;&lt;pub-location&gt;Bristol&lt;/pub-location&gt;&lt;publisher&gt;Policy Press&lt;/publisher&gt;&lt;urls&gt;&lt;/urls&gt;&lt;/record&gt;&lt;/Cite&gt;&lt;/EndNote&gt;</w:instrText>
      </w:r>
      <w:r>
        <w:fldChar w:fldCharType="separate"/>
      </w:r>
      <w:r>
        <w:rPr>
          <w:noProof/>
        </w:rPr>
        <w:t>(Gubrium and Lødemel, 2014:212)</w:t>
      </w:r>
      <w:r>
        <w:fldChar w:fldCharType="end"/>
      </w:r>
      <w:r>
        <w:t>.</w:t>
      </w:r>
    </w:p>
    <w:p w14:paraId="7C8459CE" w14:textId="77777777" w:rsidR="007721E9" w:rsidRDefault="007721E9" w:rsidP="0075668C"/>
    <w:p w14:paraId="110FF2A4" w14:textId="0E6667A9" w:rsidR="007721E9" w:rsidRDefault="007721E9" w:rsidP="00BA7B36">
      <w:r>
        <w:t xml:space="preserve">A further recent resurgence of interest has come in the UK, given a perception that benefits have become increasingly stigmatised due to a media and political discourse of ‘scrounging’ </w:t>
      </w:r>
      <w:r w:rsidR="00D975D6">
        <w:fldChar w:fldCharType="begin"/>
      </w:r>
      <w:r w:rsidR="00D975D6">
        <w:instrText xml:space="preserve"> ADDIN EN.CITE &lt;EndNote&gt;&lt;Cite&gt;&lt;Author&gt;Baumberg&lt;/Author&gt;&lt;Year&gt;2012&lt;/Year&gt;&lt;RecNum&gt;415&lt;/RecNum&gt;&lt;DisplayText&gt;(Baumberg&lt;style face="italic"&gt; et al.&lt;/style&gt;, 2012)&lt;/DisplayText&gt;&lt;record&gt;&lt;rec-number&gt;415&lt;/rec-number&gt;&lt;foreign-keys&gt;&lt;key app="EN" db-id="5xatt0094rr92mepzaexd2xzx29appesae0a" timestamp="0"&gt;415&lt;/key&gt;&lt;/foreign-keys&gt;&lt;ref-type name="Report"&gt;27&lt;/ref-type&gt;&lt;contributors&gt;&lt;authors&gt;&lt;author&gt;Baumberg,B&lt;/author&gt;&lt;author&gt;Bell, Kate &lt;/author&gt;&lt;author&gt;Gaffney, Declan&lt;/author&gt;&lt;author&gt;with Deacon,R&lt;/author&gt;&lt;author&gt;Hood,Clancy&lt;/author&gt;&lt;author&gt;Daniel Sage&lt;/author&gt;&lt;/authors&gt;&lt;/contributors&gt;&lt;titles&gt;&lt;title&gt;Benefits stigma in Britain&lt;/title&gt;&lt;/titles&gt;&lt;dates&gt;&lt;year&gt;2012&lt;/year&gt;&lt;/dates&gt;&lt;pub-location&gt;London&lt;/pub-location&gt;&lt;publisher&gt;Elizabeth Finn Care/Turn2us&lt;/publisher&gt;&lt;urls&gt;&lt;related-urls&gt;&lt;url&gt;http://www.turn2us.org.uk/about_us/media_centre/news_archive/benefits_stigma.aspx&lt;/url&gt;&lt;/related-urls&gt;&lt;/urls&gt;&lt;/record&gt;&lt;/Cite&gt;&lt;/EndNote&gt;</w:instrText>
      </w:r>
      <w:r w:rsidR="00D975D6">
        <w:fldChar w:fldCharType="separate"/>
      </w:r>
      <w:r w:rsidR="00D975D6">
        <w:rPr>
          <w:noProof/>
        </w:rPr>
        <w:t>(Baumberg</w:t>
      </w:r>
      <w:r w:rsidR="00D975D6" w:rsidRPr="00D975D6">
        <w:rPr>
          <w:i/>
          <w:noProof/>
        </w:rPr>
        <w:t xml:space="preserve"> et al.</w:t>
      </w:r>
      <w:r w:rsidR="00D975D6">
        <w:rPr>
          <w:noProof/>
        </w:rPr>
        <w:t>, 2012)</w:t>
      </w:r>
      <w:r w:rsidR="00D975D6">
        <w:fldChar w:fldCharType="end"/>
      </w:r>
      <w:r>
        <w:t>.  This has been argued by UK charities, several of whom argued in 2012 that ‘</w:t>
      </w:r>
      <w:r w:rsidRPr="00F13725">
        <w:t>this narrative of benefit scroungers</w:t>
      </w:r>
      <w:r>
        <w:t>….</w:t>
      </w:r>
      <w:r w:rsidRPr="00F13725">
        <w:t>does risk stigmatising all people with a disability</w:t>
      </w:r>
      <w:r>
        <w:t>’</w:t>
      </w:r>
      <w:r w:rsidR="0019023E">
        <w:t>;</w:t>
      </w:r>
      <w:r>
        <w:rPr>
          <w:vertAlign w:val="superscript"/>
        </w:rPr>
        <w:t>2</w:t>
      </w:r>
      <w:r>
        <w:t xml:space="preserve"> has been suggested in the academic literature </w:t>
      </w:r>
      <w:r w:rsidR="0019023E">
        <w:fldChar w:fldCharType="begin"/>
      </w:r>
      <w:r w:rsidR="0019023E">
        <w:instrText xml:space="preserve"> ADDIN EN.CITE &lt;EndNote&gt;&lt;Cite&gt;&lt;Author&gt;Taylor-Gooby&lt;/Author&gt;&lt;Year&gt;2013&lt;/Year&gt;&lt;RecNum&gt;526&lt;/RecNum&gt;&lt;DisplayText&gt;(Taylor-Gooby, 2013)&lt;/DisplayText&gt;&lt;record&gt;&lt;rec-number&gt;526&lt;/rec-number&gt;&lt;foreign-keys&gt;&lt;key app="EN" db-id="5xatt0094rr92mepzaexd2xzx29appesae0a" timestamp="1407176998"&gt;526&lt;/key&gt;&lt;/foreign-keys&gt;&lt;ref-type name="Journal Article"&gt;17&lt;/ref-type&gt;&lt;contributors&gt;&lt;authors&gt;&lt;author&gt;Taylor-Gooby, P&lt;/author&gt;&lt;/authors&gt;&lt;/contributors&gt;&lt;titles&gt;&lt;title&gt;Why Do People Stigmatise the Poor at a Time of Rapidly Increasing Inequality, and What Can Be Done About It?&lt;/title&gt;&lt;secondary-title&gt;The Political Quarterly&lt;/secondary-title&gt;&lt;/titles&gt;&lt;periodical&gt;&lt;full-title&gt;The Political Quarterly&lt;/full-title&gt;&lt;/periodical&gt;&lt;pages&gt;31-42&lt;/pages&gt;&lt;volume&gt;84&lt;/volume&gt;&lt;number&gt;1&lt;/number&gt;&lt;dates&gt;&lt;year&gt;2013&lt;/year&gt;&lt;/dates&gt;&lt;urls&gt;&lt;/urls&gt;&lt;/record&gt;&lt;/Cite&gt;&lt;/EndNote&gt;</w:instrText>
      </w:r>
      <w:r w:rsidR="0019023E">
        <w:fldChar w:fldCharType="separate"/>
      </w:r>
      <w:r w:rsidR="0019023E">
        <w:rPr>
          <w:noProof/>
        </w:rPr>
        <w:t>(Taylor-Gooby, 2013)</w:t>
      </w:r>
      <w:r w:rsidR="0019023E">
        <w:fldChar w:fldCharType="end"/>
      </w:r>
      <w:r w:rsidR="0019023E">
        <w:t xml:space="preserve">; </w:t>
      </w:r>
      <w:r w:rsidR="00F75BB2">
        <w:t xml:space="preserve">and </w:t>
      </w:r>
      <w:r>
        <w:t xml:space="preserve">claimants themselves report that this discourse makes them feel stigmatised </w:t>
      </w:r>
      <w:r>
        <w:fldChar w:fldCharType="begin">
          <w:fldData xml:space="preserve">PEVuZE5vdGU+PENpdGU+PEF1dGhvcj5HYXJ0aHdhaXRlPC9BdXRob3I+PFllYXI+MjAxNDwvWWVh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</w:fldData>
        </w:fldChar>
      </w:r>
      <w:r w:rsidR="00D975D6">
        <w:instrText xml:space="preserve"> ADDIN EN.CITE </w:instrText>
      </w:r>
      <w:r w:rsidR="00D975D6">
        <w:fldChar w:fldCharType="begin">
          <w:fldData xml:space="preserve">PEVuZE5vdGU+PENpdGU+PEF1dGhvcj5HYXJ0aHdhaXRlPC9BdXRob3I+PFllYXI+MjAxNDwvWWVh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</w:fldData>
        </w:fldChar>
      </w:r>
      <w:r w:rsidR="00D975D6">
        <w:instrText xml:space="preserve"> ADDIN EN.CITE.DATA </w:instrText>
      </w:r>
      <w:r w:rsidR="00D975D6">
        <w:fldChar w:fldCharType="end"/>
      </w:r>
      <w:r>
        <w:fldChar w:fldCharType="separate"/>
      </w:r>
      <w:r w:rsidR="00DD3237">
        <w:rPr>
          <w:noProof/>
        </w:rPr>
        <w:t>(e.g. Garthwaite, 2014; Walker</w:t>
      </w:r>
      <w:r w:rsidR="00DD3237" w:rsidRPr="00DD3237">
        <w:rPr>
          <w:i/>
          <w:noProof/>
        </w:rPr>
        <w:t xml:space="preserve"> et al.</w:t>
      </w:r>
      <w:r w:rsidR="00DD3237">
        <w:rPr>
          <w:noProof/>
        </w:rPr>
        <w:t>, 2013:226)</w:t>
      </w:r>
      <w:r>
        <w:fldChar w:fldCharType="end"/>
      </w:r>
      <w:r>
        <w:t>.  This does not mean that benefits stigma is only of interest in 21</w:t>
      </w:r>
      <w:r w:rsidRPr="00F13725">
        <w:rPr>
          <w:vertAlign w:val="superscript"/>
        </w:rPr>
        <w:t>st</w:t>
      </w:r>
      <w:r>
        <w:t xml:space="preserve">-century Britain; rather, it seems to be an endemic feature of most social security systems (see below), that </w:t>
      </w:r>
      <w:r w:rsidR="00F75BB2">
        <w:t>develops in</w:t>
      </w:r>
      <w:r>
        <w:t>to epidemic</w:t>
      </w:r>
      <w:r w:rsidR="00F75BB2">
        <w:t>s</w:t>
      </w:r>
      <w:r>
        <w:t xml:space="preserve"> in particular circumstances.</w:t>
      </w:r>
    </w:p>
    <w:p w14:paraId="3762CA8E" w14:textId="77777777" w:rsidR="007721E9" w:rsidRDefault="007721E9" w:rsidP="0075668C"/>
    <w:p w14:paraId="11ED3AA7" w14:textId="1C3A987F" w:rsidR="007721E9" w:rsidRDefault="007721E9" w:rsidP="00BA7B36">
      <w:r>
        <w:lastRenderedPageBreak/>
        <w:t xml:space="preserve">Yet what has been missing through these debates is the </w:t>
      </w:r>
      <w:r>
        <w:rPr>
          <w:i/>
        </w:rPr>
        <w:t xml:space="preserve">quantification </w:t>
      </w:r>
      <w:r>
        <w:t xml:space="preserve">of benefits stigma; rarely for an important social policy issue, little quantitative evidence exists, and that which does (reviewed below) is largely dated and partial.  Quantification undoubtedly </w:t>
      </w:r>
      <w:r w:rsidR="00BF27A0">
        <w:t xml:space="preserve">requires simplifying and reshaping </w:t>
      </w:r>
      <w:r>
        <w:t xml:space="preserve">any object of study, putting dissimilar phenomena in the same conceptual box in order to count them; hence qualitative evidence is crucial </w:t>
      </w:r>
      <w:r>
        <w:fldChar w:fldCharType="begin">
          <w:fldData xml:space="preserve">PEVuZE5vdGU+PENpdGU+PEF1dGhvcj5TZWNjb21iZTwvQXV0aG9yPjxZZWFyPjE5OTg8L1llYXI+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</w:fldData>
        </w:fldChar>
      </w:r>
      <w:r w:rsidR="00D975D6">
        <w:instrText xml:space="preserve"> ADDIN EN.CITE </w:instrText>
      </w:r>
      <w:r w:rsidR="00D975D6">
        <w:fldChar w:fldCharType="begin">
          <w:fldData xml:space="preserve">PEVuZE5vdGU+PENpdGU+PEF1dGhvcj5TZWNjb21iZTwvQXV0aG9yPjxZZWFyPjE5OTg8L1llYXI+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</w:fldData>
        </w:fldChar>
      </w:r>
      <w:r w:rsidR="00D975D6">
        <w:instrText xml:space="preserve"> ADDIN EN.CITE.DATA </w:instrText>
      </w:r>
      <w:r w:rsidR="00D975D6">
        <w:fldChar w:fldCharType="end"/>
      </w:r>
      <w:r>
        <w:fldChar w:fldCharType="separate"/>
      </w:r>
      <w:r w:rsidR="00DD3237">
        <w:rPr>
          <w:noProof/>
        </w:rPr>
        <w:t>(in the US, e.g. Seccombe</w:t>
      </w:r>
      <w:r w:rsidR="00DD3237" w:rsidRPr="00DD3237">
        <w:rPr>
          <w:i/>
          <w:noProof/>
        </w:rPr>
        <w:t xml:space="preserve"> et al.</w:t>
      </w:r>
      <w:r w:rsidR="00DD3237">
        <w:rPr>
          <w:noProof/>
        </w:rPr>
        <w:t>, 1998; in the UK, e.g. Garthwaite, 2014; Shildrick and MacDonald, 2013)</w:t>
      </w:r>
      <w:r>
        <w:fldChar w:fldCharType="end"/>
      </w:r>
      <w:r>
        <w:t>.  However, the lack of quantitative evidence prevents us from asking basic questions such as: how common really is benefits stigma in contemporary Britain?  And is it true that there is a ‘dependency culture’ of low stigma in areas of high claims?</w:t>
      </w:r>
    </w:p>
    <w:p w14:paraId="4C5A89AC" w14:textId="77777777" w:rsidR="007721E9" w:rsidRDefault="007721E9" w:rsidP="00901C82"/>
    <w:p w14:paraId="12F7BECB" w14:textId="320DB09E" w:rsidR="007721E9" w:rsidRDefault="007721E9" w:rsidP="00901C82">
      <w:pPr>
        <w:sectPr w:rsidR="007721E9">
          <w:pgSz w:w="11906" w:h="16838"/>
          <w:pgMar w:top="1440" w:right="1440" w:bottom="1440" w:left="1440" w:header="708" w:footer="708" w:gutter="0"/>
          <w:cols w:space="708"/>
          <w:docGrid w:linePitch="360"/>
        </w:sectPr>
      </w:pPr>
      <w:r>
        <w:t>This paper reports the results of a nationally representative survey in Britain designed to answer such questions.  Before this, however, the paper considers what benefits stigma is, what impacts it has, and how best to measure it.</w:t>
      </w:r>
    </w:p>
    <w:p w14:paraId="455F3E19" w14:textId="0A6AFB59" w:rsidR="007721E9" w:rsidRDefault="0058072A" w:rsidP="0058072A">
      <w:pPr>
        <w:pStyle w:val="Heading3"/>
      </w:pPr>
      <w:r>
        <w:lastRenderedPageBreak/>
        <w:t>Understanding benefits stigma</w:t>
      </w:r>
    </w:p>
    <w:p w14:paraId="611D5788" w14:textId="52DF65FF" w:rsidR="007721E9" w:rsidRPr="00B16E48" w:rsidRDefault="007721E9" w:rsidP="009B3C7B">
      <w:pPr>
        <w:rPr>
          <w:rFonts w:ascii="Calibri" w:hAnsi="Calibri"/>
          <w:color w:val="000000"/>
          <w:szCs w:val="22"/>
        </w:rPr>
      </w:pPr>
      <w:r>
        <w:t xml:space="preserve">We define stigma as a situation </w:t>
      </w:r>
      <w:r w:rsidRPr="000A0741">
        <w:rPr>
          <w:i/>
        </w:rPr>
        <w:t>“when a person possesses (or is believed to possess) ‘some attribute or characteristic that conveys a social identity that is devalued in a particular social context”</w:t>
      </w:r>
      <w:r>
        <w:t xml:space="preserve"> </w:t>
      </w:r>
      <w:r>
        <w:fldChar w:fldCharType="begin"/>
      </w:r>
      <w:r>
        <w:instrText xml:space="preserve"> ADDIN EN.CITE &lt;EndNote&gt;&lt;Cite&gt;&lt;Author&gt;Major&lt;/Author&gt;&lt;Year&gt;2005&lt;/Year&gt;&lt;RecNum&gt;207&lt;/RecNum&gt;&lt;Prefix&gt;Crocker et al 1998`, cited by &lt;/Prefix&gt;&lt;Suffix&gt;:394-5&lt;/Suffix&gt;&lt;DisplayText&gt;(Crocker et al 1998, cited by Major and O&amp;apos;Brien, 2005:394-5)&lt;/DisplayText&gt;&lt;record&gt;&lt;rec-number&gt;207&lt;/rec-number&gt;&lt;foreign-keys&gt;&lt;key app="EN" db-id="5xatt0094rr92mepzaexd2xzx29appesae0a" timestamp="0"&gt;207&lt;/key&gt;&lt;/foreign-keys&gt;&lt;ref-type name="Journal Article"&gt;17&lt;/ref-type&gt;&lt;contributors&gt;&lt;authors&gt;&lt;author&gt;Major,Brenda&lt;/author&gt;&lt;author&gt;O&amp;apos;Brien, Laurie T&lt;/author&gt;&lt;/authors&gt;&lt;/contributors&gt;&lt;titles&gt;&lt;title&gt;The social psychology of stigma&lt;/title&gt;&lt;secondary-title&gt;Annual Review of Psychology&lt;/secondary-title&gt;&lt;/titles&gt;&lt;periodical&gt;&lt;full-title&gt;Annual Review of Psychology&lt;/full-title&gt;&lt;/periodical&gt;&lt;pages&gt;393-421&lt;/pages&gt;&lt;volume&gt;56&lt;/volume&gt;&lt;dates&gt;&lt;year&gt;2005&lt;/year&gt;&lt;/dates&gt;&lt;urls&gt;&lt;/urls&gt;&lt;/record&gt;&lt;/Cite&gt;&lt;/EndNote&gt;</w:instrText>
      </w:r>
      <w:r>
        <w:fldChar w:fldCharType="separate"/>
      </w:r>
      <w:r>
        <w:rPr>
          <w:noProof/>
        </w:rPr>
        <w:t>(Crocker et al 1998, cited by Major and O'Brien, 2005:394-5)</w:t>
      </w:r>
      <w:r>
        <w:fldChar w:fldCharType="end"/>
      </w:r>
      <w:r w:rsidR="009D58DD">
        <w:t xml:space="preserve"> – in this case, claiming benefits</w:t>
      </w:r>
      <w:r w:rsidR="008C65B7">
        <w:t>.</w:t>
      </w:r>
      <w:r w:rsidR="009D58DD" w:rsidRPr="007721E9">
        <w:rPr>
          <w:vertAlign w:val="superscript"/>
        </w:rPr>
        <w:t>3</w:t>
      </w:r>
      <w:r w:rsidR="008C65B7">
        <w:t xml:space="preserve">  This </w:t>
      </w:r>
      <w:r w:rsidR="005E1DD7">
        <w:t xml:space="preserve">widespread definition dates back to </w:t>
      </w:r>
      <w:r w:rsidR="008C65B7">
        <w:t>Erving Goffman’s</w:t>
      </w:r>
      <w:r w:rsidR="005E1DD7">
        <w:t xml:space="preserve"> influential work</w:t>
      </w:r>
      <w:r w:rsidR="00D712AE">
        <w:t xml:space="preserve"> on managing potentially discreditable attributes</w:t>
      </w:r>
      <w:r w:rsidR="009D58DD">
        <w:t xml:space="preserve"> </w:t>
      </w:r>
      <w:r w:rsidR="009D58DD">
        <w:fldChar w:fldCharType="begin"/>
      </w:r>
      <w:r w:rsidR="009D58DD">
        <w:instrText xml:space="preserve"> ADDIN EN.CITE &lt;EndNote&gt;&lt;Cite&gt;&lt;Author&gt;Goffman&lt;/Author&gt;&lt;Year&gt;1963&lt;/Year&gt;&lt;RecNum&gt;577&lt;/RecNum&gt;&lt;DisplayText&gt;(Goffman, 1963)&lt;/DisplayText&gt;&lt;record&gt;&lt;rec-number&gt;577&lt;/rec-number&gt;&lt;foreign-keys&gt;&lt;key app="EN" db-id="5xatt0094rr92mepzaexd2xzx29appesae0a" timestamp="1429632510"&gt;577&lt;/key&gt;&lt;/foreign-keys&gt;&lt;ref-type name="Book"&gt;6&lt;/ref-type&gt;&lt;contributors&gt;&lt;authors&gt;&lt;author&gt;Erving Goffman&lt;/author&gt;&lt;/authors&gt;&lt;/contributors&gt;&lt;titles&gt;&lt;title&gt;Stigma: Notes on the Management of Spoiled Identity&lt;/title&gt;&lt;/titles&gt;&lt;dates&gt;&lt;year&gt;1963&lt;/year&gt;&lt;/dates&gt;&lt;pub-location&gt;New York&lt;/pub-location&gt;&lt;publisher&gt;Prentice-Hall&lt;/publisher&gt;&lt;urls&gt;&lt;/urls&gt;&lt;/record&gt;&lt;/Cite&gt;&lt;/EndNote&gt;</w:instrText>
      </w:r>
      <w:r w:rsidR="009D58DD">
        <w:fldChar w:fldCharType="separate"/>
      </w:r>
      <w:r w:rsidR="009D58DD">
        <w:rPr>
          <w:noProof/>
        </w:rPr>
        <w:t>(Goffman, 1963)</w:t>
      </w:r>
      <w:r w:rsidR="009D58DD">
        <w:fldChar w:fldCharType="end"/>
      </w:r>
      <w:r w:rsidR="005E1DD7">
        <w:t>, much as some of Goffman’s views (particularly his treatment of disability stigma) ha</w:t>
      </w:r>
      <w:r w:rsidR="009D58DD">
        <w:t>ve</w:t>
      </w:r>
      <w:r w:rsidR="005E1DD7">
        <w:t xml:space="preserve"> since</w:t>
      </w:r>
      <w:r w:rsidR="008C65B7">
        <w:t xml:space="preserve"> </w:t>
      </w:r>
      <w:r w:rsidR="005E1DD7">
        <w:t xml:space="preserve">been superseded </w:t>
      </w:r>
      <w:r w:rsidR="00DD3237">
        <w:fldChar w:fldCharType="begin"/>
      </w:r>
      <w:r w:rsidR="00DD3237">
        <w:instrText xml:space="preserve"> ADDIN EN.CITE &lt;EndNote&gt;&lt;Cite&gt;&lt;Author&gt;Major&lt;/Author&gt;&lt;Year&gt;2005&lt;/Year&gt;&lt;RecNum&gt;207&lt;/RecNum&gt;&lt;Prefix&gt;e.g. &lt;/Prefix&gt;&lt;DisplayText&gt;(e.g. Major and O&amp;apos;Brien, 2005)&lt;/DisplayText&gt;&lt;record&gt;&lt;rec-number&gt;207&lt;/rec-number&gt;&lt;foreign-keys&gt;&lt;key app="EN" db-id="5xatt0094rr92mepzaexd2xzx29appesae0a" timestamp="0"&gt;207&lt;/key&gt;&lt;/foreign-keys&gt;&lt;ref-type name="Journal Article"&gt;17&lt;/ref-type&gt;&lt;contributors&gt;&lt;authors&gt;&lt;author&gt;Major,Brenda&lt;/author&gt;&lt;author&gt;O&amp;apos;Brien, Laurie T&lt;/author&gt;&lt;/authors&gt;&lt;/contributors&gt;&lt;titles&gt;&lt;title&gt;The social psychology of stigma&lt;/title&gt;&lt;secondary-title&gt;Annual Review of Psychology&lt;/secondary-title&gt;&lt;/titles&gt;&lt;periodical&gt;&lt;full-title&gt;Annual Review of Psychology&lt;/full-title&gt;&lt;/periodical&gt;&lt;pages&gt;393-421&lt;/pages&gt;&lt;volume&gt;56&lt;/volume&gt;&lt;dates&gt;&lt;year&gt;2005&lt;/year&gt;&lt;/dates&gt;&lt;urls&gt;&lt;/urls&gt;&lt;/record&gt;&lt;/Cite&gt;&lt;/EndNote&gt;</w:instrText>
      </w:r>
      <w:r w:rsidR="00DD3237">
        <w:fldChar w:fldCharType="separate"/>
      </w:r>
      <w:r w:rsidR="00DD3237">
        <w:rPr>
          <w:noProof/>
        </w:rPr>
        <w:t>(e.g. Major and O'Brien, 2005)</w:t>
      </w:r>
      <w:r w:rsidR="00DD3237">
        <w:fldChar w:fldCharType="end"/>
      </w:r>
      <w:r>
        <w:t>.  Within this, we must further split ‘</w:t>
      </w:r>
      <w:r w:rsidR="00C2015A">
        <w:t xml:space="preserve">personal </w:t>
      </w:r>
      <w:r>
        <w:t xml:space="preserve">stigma’ from ‘stigmatisation’ </w:t>
      </w:r>
      <w:r>
        <w:fldChar w:fldCharType="begin">
          <w:fldData xml:space="preserve">PEVuZE5vdGU+PENpdGU+PEF1dGhvcj5DaGFzZTwvQXV0aG9yPjxZZWFyPjIwMTM8L1llYXI+PFJl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=
</w:fldData>
        </w:fldChar>
      </w:r>
      <w:r>
        <w:instrText xml:space="preserve"> ADDIN EN.CITE </w:instrText>
      </w:r>
      <w:r>
        <w:fldChar w:fldCharType="begin">
          <w:fldData xml:space="preserve">PEVuZE5vdGU+PENpdGU+PEF1dGhvcj5DaGFzZTwvQXV0aG9yPjxZZWFyPjIwMTM8L1llYXI+PFJl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=
</w:fldData>
        </w:fldChar>
      </w:r>
      <w:r>
        <w:instrText xml:space="preserve"> ADDIN EN.CITE.DATA </w:instrText>
      </w:r>
      <w:r>
        <w:fldChar w:fldCharType="end"/>
      </w:r>
      <w:r>
        <w:fldChar w:fldCharType="separate"/>
      </w:r>
      <w:r>
        <w:rPr>
          <w:noProof/>
        </w:rPr>
        <w:t>(Chase and Walker, 2013; Taylor-Gooby, 1976:36; Stuber and Kronebusch, 2004)</w:t>
      </w:r>
      <w:r>
        <w:fldChar w:fldCharType="end"/>
      </w:r>
      <w:r>
        <w:t>.  ‘</w:t>
      </w:r>
      <w:r w:rsidR="00C2015A">
        <w:t xml:space="preserve">Personal </w:t>
      </w:r>
      <w:r>
        <w:t xml:space="preserve">stigma’ is a person’s own feeling that claiming benefits conveys a devalued identity.  In contrast, ‘stigmatisation’ is the perception that other people will devalue your identity.  There is no necessity for these to overlap; claimants can think that other people look down on </w:t>
      </w:r>
      <w:r w:rsidR="00C2015A">
        <w:t>claiming</w:t>
      </w:r>
      <w:r>
        <w:t xml:space="preserve">, while personally thinking that there is nothing to be ashamed of.  There is also stigma in the </w:t>
      </w:r>
      <w:r>
        <w:rPr>
          <w:i/>
        </w:rPr>
        <w:t xml:space="preserve">process </w:t>
      </w:r>
      <w:r>
        <w:t xml:space="preserve">of claiming benefits, from a combination of the lack of privacy involved (particularly in means tests and cohabitation tests), the demeaning experience of long waits, and feeling looked down on by suspicious staff </w:t>
      </w:r>
      <w:r>
        <w:fldChar w:fldCharType="begin"/>
      </w:r>
      <w:r>
        <w:instrText xml:space="preserve"> ADDIN EN.CITE &lt;EndNote&gt;&lt;Cite&gt;&lt;Author&gt;Finn&lt;/Author&gt;&lt;Year&gt;2008&lt;/Year&gt;&lt;RecNum&gt;268&lt;/RecNum&gt;&lt;Suffix&gt;:45-6&lt;/Suffix&gt;&lt;DisplayText&gt;(Finn&lt;style face="italic"&gt; et al.&lt;/style&gt;, 2008:45-6)&lt;/DisplayText&gt;&lt;record&gt;&lt;rec-number&gt;268&lt;/rec-number&gt;&lt;foreign-keys&gt;&lt;key app="EN" db-id="5xatt0094rr92mepzaexd2xzx29appesae0a" timestamp="0"&gt;268&lt;/key&gt;&lt;/foreign-keys&gt;&lt;ref-type name="Report"&gt;27&lt;/ref-type&gt;&lt;contributors&gt;&lt;authors&gt;&lt;author&gt;Dan Finn&lt;/author&gt;&lt;author&gt;Danielle Mason&lt;/author&gt;&lt;author&gt;Nilufer Rahim&lt;/author&gt;&lt;author&gt;Jo Casebourne&lt;/author&gt;&lt;/authors&gt;&lt;/contributors&gt;&lt;titles&gt;&lt;title&gt;Problems in the delivery of benefits, tax credits and employment services&lt;/title&gt;&lt;/titles&gt;&lt;dates&gt;&lt;year&gt;2008&lt;/year&gt;&lt;/dates&gt;&lt;pub-location&gt;York&lt;/pub-location&gt;&lt;publisher&gt;Joseph Rowntree Foundation&lt;/publisher&gt;&lt;urls&gt;&lt;related-urls&gt;&lt;url&gt;http://www.jrf.org.uk/publications/problems-delivery-benefits-tax-credits-and-employment-services&lt;/url&gt;&lt;/related-urls&gt;&lt;/urls&gt;&lt;/record&gt;&lt;/Cite&gt;&lt;/EndNote&gt;</w:instrText>
      </w:r>
      <w:r>
        <w:fldChar w:fldCharType="separate"/>
      </w:r>
      <w:r>
        <w:rPr>
          <w:noProof/>
        </w:rPr>
        <w:t>(Finn</w:t>
      </w:r>
      <w:r w:rsidRPr="00C75157">
        <w:rPr>
          <w:i/>
          <w:noProof/>
        </w:rPr>
        <w:t xml:space="preserve"> et al.</w:t>
      </w:r>
      <w:r>
        <w:rPr>
          <w:noProof/>
        </w:rPr>
        <w:t>, 2008:45-6)</w:t>
      </w:r>
      <w:r>
        <w:fldChar w:fldCharType="end"/>
      </w:r>
      <w:r>
        <w:t xml:space="preserve">. We refer to this as ‘claims stigma’ </w:t>
      </w:r>
      <w:r>
        <w:rPr>
          <w:rFonts w:ascii="Calibri" w:hAnsi="Calibri"/>
          <w:color w:val="000000"/>
          <w:szCs w:val="22"/>
        </w:rPr>
        <w:fldChar w:fldCharType="begin"/>
      </w:r>
      <w:r>
        <w:rPr>
          <w:rFonts w:ascii="Calibri" w:hAnsi="Calibri"/>
          <w:color w:val="000000"/>
          <w:szCs w:val="22"/>
        </w:rPr>
        <w:instrText xml:space="preserve"> ADDIN EN.CITE &lt;EndNote&gt;&lt;Cite&gt;&lt;Author&gt;Walker&lt;/Author&gt;&lt;Year&gt;2005&lt;/Year&gt;&lt;RecNum&gt;221&lt;/RecNum&gt;&lt;Prefix&gt;see also &lt;/Prefix&gt;&lt;Suffix&gt;:197&lt;/Suffix&gt;&lt;DisplayText&gt;(see also Walker, 2005:197)&lt;/DisplayText&gt;&lt;record&gt;&lt;rec-number&gt;221&lt;/rec-number&gt;&lt;foreign-keys&gt;&lt;key app="EN" db-id="5xatt0094rr92mepzaexd2xzx29appesae0a" timestamp="0"&gt;221&lt;/key&gt;&lt;/foreign-keys&gt;&lt;ref-type name="Book"&gt;6&lt;/ref-type&gt;&lt;contributors&gt;&lt;authors&gt;&lt;author&gt;Robert Walker&lt;/author&gt;&lt;/authors&gt;&lt;/contributors&gt;&lt;titles&gt;&lt;title&gt;Social security and welfare: concepts and comparisons&lt;/title&gt;&lt;/titles&gt;&lt;dates&gt;&lt;year&gt;2005&lt;/year&gt;&lt;/dates&gt;&lt;pub-location&gt;Milton Keynes&lt;/pub-location&gt;&lt;publisher&gt;Open University Press&lt;/publisher&gt;&lt;urls&gt;&lt;/urls&gt;&lt;/record&gt;&lt;/Cite&gt;&lt;/EndNote&gt;</w:instrText>
      </w:r>
      <w:r>
        <w:rPr>
          <w:rFonts w:ascii="Calibri" w:hAnsi="Calibri"/>
          <w:color w:val="000000"/>
          <w:szCs w:val="22"/>
        </w:rPr>
        <w:fldChar w:fldCharType="separate"/>
      </w:r>
      <w:r>
        <w:rPr>
          <w:rFonts w:ascii="Calibri" w:hAnsi="Calibri"/>
          <w:noProof/>
          <w:color w:val="000000"/>
          <w:szCs w:val="22"/>
        </w:rPr>
        <w:t>(see also Walker, 2005:197)</w:t>
      </w:r>
      <w:r>
        <w:rPr>
          <w:rFonts w:ascii="Calibri" w:hAnsi="Calibri"/>
          <w:color w:val="000000"/>
          <w:szCs w:val="22"/>
        </w:rPr>
        <w:fldChar w:fldCharType="end"/>
      </w:r>
      <w:r>
        <w:rPr>
          <w:rFonts w:ascii="Calibri" w:hAnsi="Calibri"/>
          <w:color w:val="000000"/>
          <w:szCs w:val="22"/>
        </w:rPr>
        <w:t xml:space="preserve">, and it often emerges in qualitative research as the most powerfully-felt stigma of all </w:t>
      </w:r>
      <w:r>
        <w:rPr>
          <w:rFonts w:ascii="Calibri" w:hAnsi="Calibri"/>
          <w:color w:val="000000"/>
          <w:szCs w:val="22"/>
        </w:rPr>
        <w:fldChar w:fldCharType="begin"/>
      </w:r>
      <w:r>
        <w:rPr>
          <w:rFonts w:ascii="Calibri" w:hAnsi="Calibri"/>
          <w:color w:val="000000"/>
          <w:szCs w:val="22"/>
        </w:rPr>
        <w:instrText xml:space="preserve"> ADDIN EN.CITE &lt;EndNote&gt;&lt;Cite&gt;&lt;Author&gt;Pemberton&lt;/Author&gt;&lt;Year&gt;2013&lt;/Year&gt;&lt;RecNum&gt;522&lt;/RecNum&gt;&lt;Suffix&gt;:28&lt;/Suffix&gt;&lt;DisplayText&gt;(Pemberton&lt;style face="italic"&gt; et al.&lt;/style&gt;, 2013:28)&lt;/DisplayText&gt;&lt;record&gt;&lt;rec-number&gt;522&lt;/rec-number&gt;&lt;foreign-keys&gt;&lt;key app="EN" db-id="5xatt0094rr92mepzaexd2xzx29appesae0a" timestamp="1407172785"&gt;522&lt;/key&gt;&lt;/foreign-keys&gt;&lt;ref-type name="Report"&gt;27&lt;/ref-type&gt;&lt;contributors&gt;&lt;authors&gt;&lt;author&gt;Simon Pemberton&lt;/author&gt;&lt;author&gt;Eileen Sutton&lt;/author&gt;&lt;author&gt;Eldin Fahmy&lt;/author&gt;&lt;/authors&gt;&lt;/contributors&gt;&lt;titles&gt;&lt;title&gt;A review of the qualitative evidence relating to the experience of poverty and exclusion&lt;/title&gt;&lt;secondary-title&gt;Poverty and Social Exclusion in the UK (PSE) Working Paper - Methods Series No. 22&lt;/secondary-title&gt;&lt;/titles&gt;&lt;dates&gt;&lt;year&gt;2013&lt;/year&gt;&lt;/dates&gt;&lt;urls&gt;&lt;/urls&gt;&lt;/record&gt;&lt;/Cite&gt;&lt;/EndNote&gt;</w:instrText>
      </w:r>
      <w:r>
        <w:rPr>
          <w:rFonts w:ascii="Calibri" w:hAnsi="Calibri"/>
          <w:color w:val="000000"/>
          <w:szCs w:val="22"/>
        </w:rPr>
        <w:fldChar w:fldCharType="separate"/>
      </w:r>
      <w:r>
        <w:rPr>
          <w:rFonts w:ascii="Calibri" w:hAnsi="Calibri"/>
          <w:noProof/>
          <w:color w:val="000000"/>
          <w:szCs w:val="22"/>
        </w:rPr>
        <w:t>(Pemberton</w:t>
      </w:r>
      <w:r w:rsidRPr="00C75157">
        <w:rPr>
          <w:rFonts w:ascii="Calibri" w:hAnsi="Calibri"/>
          <w:i/>
          <w:noProof/>
          <w:color w:val="000000"/>
          <w:szCs w:val="22"/>
        </w:rPr>
        <w:t xml:space="preserve"> et al.</w:t>
      </w:r>
      <w:r>
        <w:rPr>
          <w:rFonts w:ascii="Calibri" w:hAnsi="Calibri"/>
          <w:noProof/>
          <w:color w:val="000000"/>
          <w:szCs w:val="22"/>
        </w:rPr>
        <w:t>, 2013:28)</w:t>
      </w:r>
      <w:r>
        <w:rPr>
          <w:rFonts w:ascii="Calibri" w:hAnsi="Calibri"/>
          <w:color w:val="000000"/>
          <w:szCs w:val="22"/>
        </w:rPr>
        <w:fldChar w:fldCharType="end"/>
      </w:r>
      <w:r>
        <w:rPr>
          <w:rFonts w:ascii="Calibri" w:hAnsi="Calibri"/>
          <w:color w:val="000000"/>
          <w:szCs w:val="22"/>
        </w:rPr>
        <w:t>.</w:t>
      </w:r>
    </w:p>
    <w:p w14:paraId="3BAFACB3" w14:textId="77777777" w:rsidR="007721E9" w:rsidRDefault="007721E9" w:rsidP="00BD29DE"/>
    <w:p w14:paraId="70553B27" w14:textId="5B3DB193" w:rsidR="007721E9" w:rsidRDefault="00F27BBD" w:rsidP="000A0741">
      <w:r>
        <w:t xml:space="preserve">In terms of </w:t>
      </w:r>
      <w:r w:rsidR="007721E9">
        <w:t xml:space="preserve">why claiming benefits </w:t>
      </w:r>
      <w:r>
        <w:t xml:space="preserve">might </w:t>
      </w:r>
      <w:r w:rsidR="007721E9">
        <w:t>be stigmatised</w:t>
      </w:r>
      <w:r>
        <w:t>, t</w:t>
      </w:r>
      <w:r w:rsidR="007721E9">
        <w:t xml:space="preserve">he predominant view </w:t>
      </w:r>
      <w:r w:rsidR="007721E9">
        <w:fldChar w:fldCharType="begin"/>
      </w:r>
      <w:r w:rsidR="007721E9">
        <w:instrText xml:space="preserve"> ADDIN EN.CITE &lt;EndNote&gt;&lt;Cite&gt;&lt;Author&gt;Stuber&lt;/Author&gt;&lt;Year&gt;2006&lt;/Year&gt;&lt;RecNum&gt;215&lt;/RecNum&gt;&lt;DisplayText&gt;(Stuber and Schlesinger, 2006; Spicker, 1984; Pinker, 1971)&lt;/DisplayText&gt;&lt;record&gt;&lt;rec-number&gt;215&lt;/rec-number&gt;&lt;foreign-keys&gt;&lt;key app="EN" db-id="5xatt0094rr92mepzaexd2xzx29appesae0a" timestamp="0"&gt;215&lt;/key&gt;&lt;/foreign-keys&gt;&lt;ref-type name="Journal Article"&gt;17&lt;/ref-type&gt;&lt;contributors&gt;&lt;authors&gt;&lt;author&gt;Jennifer Stuber&lt;/author&gt;&lt;author&gt;Mark Schlesinger&lt;/author&gt;&lt;/authors&gt;&lt;/contributors&gt;&lt;titles&gt;&lt;title&gt;Sources of stigma for means-tested government programs&lt;/title&gt;&lt;secondary-title&gt;Social Science &amp;amp; Medicine&lt;/secondary-title&gt;&lt;/titles&gt;&lt;periodical&gt;&lt;full-title&gt;Social Science &amp;amp; Medicine&lt;/full-title&gt;&lt;/periodical&gt;&lt;pages&gt;933-945&lt;/pages&gt;&lt;volume&gt;63&lt;/volume&gt;&lt;dates&gt;&lt;year&gt;2006&lt;/year&gt;&lt;/dates&gt;&lt;urls&gt;&lt;/urls&gt;&lt;electronic-resource-num&gt;10.1016/j.socscimed.2006.01.012&lt;/electronic-resource-num&gt;&lt;/record&gt;&lt;/Cite&gt;&lt;Cite&gt;&lt;Author&gt;Spicker&lt;/Author&gt;&lt;Year&gt;1984&lt;/Year&gt;&lt;RecNum&gt;213&lt;/RecNum&gt;&lt;record&gt;&lt;rec-number&gt;213&lt;/rec-number&gt;&lt;foreign-keys&gt;&lt;key app="EN" db-id="5xatt0094rr92mepzaexd2xzx29appesae0a" timestamp="0"&gt;213&lt;/key&gt;&lt;/foreign-keys&gt;&lt;ref-type name="Book"&gt;6&lt;/ref-type&gt;&lt;contributors&gt;&lt;authors&gt;&lt;author&gt;Spicker,Paul&lt;/author&gt;&lt;/authors&gt;&lt;/contributors&gt;&lt;titles&gt;&lt;title&gt;Stigma and social welfare&lt;/title&gt;&lt;/titles&gt;&lt;dates&gt;&lt;year&gt;1984&lt;/year&gt;&lt;/dates&gt;&lt;publisher&gt;Croom Helm&lt;/publisher&gt;&lt;urls&gt;&lt;related-urls&gt;&lt;url&gt;http://www2.rgu.ac.uk/publicpolicy/introduction/books/stigma.htm&lt;/url&gt;&lt;/related-urls&gt;&lt;/urls&gt;&lt;/record&gt;&lt;/Cite&gt;&lt;Cite&gt;&lt;Author&gt;Pinker&lt;/Author&gt;&lt;Year&gt;1971&lt;/Year&gt;&lt;RecNum&gt;531&lt;/RecNum&gt;&lt;record&gt;&lt;rec-number&gt;531&lt;/rec-number&gt;&lt;foreign-keys&gt;&lt;key app="EN" db-id="5xatt0094rr92mepzaexd2xzx29appesae0a" timestamp="1407424269"&gt;531&lt;/key&gt;&lt;/foreign-keys&gt;&lt;ref-type name="Book"&gt;6&lt;/ref-type&gt;&lt;contributors&gt;&lt;authors&gt;&lt;author&gt;Robert Pinker&lt;/author&gt;&lt;/authors&gt;&lt;/contributors&gt;&lt;titles&gt;&lt;title&gt;Social Theory and Social Policy&lt;/title&gt;&lt;/titles&gt;&lt;dates&gt;&lt;year&gt;1971&lt;/year&gt;&lt;/dates&gt;&lt;pub-location&gt;London&lt;/pub-location&gt;&lt;publisher&gt;Heinemann Educational Books&lt;/publisher&gt;&lt;urls&gt;&lt;/urls&gt;&lt;/record&gt;&lt;/Cite&gt;&lt;/EndNote&gt;</w:instrText>
      </w:r>
      <w:r w:rsidR="007721E9">
        <w:fldChar w:fldCharType="separate"/>
      </w:r>
      <w:r w:rsidR="007721E9">
        <w:rPr>
          <w:noProof/>
        </w:rPr>
        <w:t>(Stuber and Schlesinger, 2006; Spicker, 1984; Pinker, 1971)</w:t>
      </w:r>
      <w:r w:rsidR="007721E9">
        <w:fldChar w:fldCharType="end"/>
      </w:r>
      <w:r w:rsidR="007721E9">
        <w:t xml:space="preserve"> is that stigma is rooted in norms of reciprocity.  </w:t>
      </w:r>
      <w:r>
        <w:t>P</w:t>
      </w:r>
      <w:r w:rsidR="007721E9">
        <w:t xml:space="preserve">eople who fail to reciprocate gifts incur social penalties, and to the extent that benefits </w:t>
      </w:r>
      <w:r w:rsidR="004654B2">
        <w:t xml:space="preserve">are </w:t>
      </w:r>
      <w:r w:rsidR="007721E9">
        <w:t>perceived to be gift</w:t>
      </w:r>
      <w:r w:rsidR="004654B2">
        <w:t>s</w:t>
      </w:r>
      <w:r w:rsidR="007721E9">
        <w:t xml:space="preserve">, </w:t>
      </w:r>
      <w:r w:rsidR="004654B2">
        <w:t xml:space="preserve">they </w:t>
      </w:r>
      <w:r w:rsidR="007721E9">
        <w:t xml:space="preserve">will be stigmatising.  </w:t>
      </w:r>
      <w:r>
        <w:rPr>
          <w:rFonts w:ascii="Calibri" w:hAnsi="Calibri"/>
          <w:i/>
          <w:color w:val="000000"/>
          <w:szCs w:val="22"/>
        </w:rPr>
        <w:t xml:space="preserve">  </w:t>
      </w:r>
      <w:r w:rsidR="004654B2">
        <w:t>Beyond this</w:t>
      </w:r>
      <w:r w:rsidR="007721E9">
        <w:t xml:space="preserve">, though, the degree of stigma depends upon whether claimants are perceived as ‘deserving’ recipients.  There is extensive evidence that </w:t>
      </w:r>
      <w:r w:rsidR="007721E9">
        <w:lastRenderedPageBreak/>
        <w:t xml:space="preserve">people </w:t>
      </w:r>
      <w:r w:rsidR="00C2015A">
        <w:t xml:space="preserve">make deservingness judgements based on </w:t>
      </w:r>
      <w:r w:rsidR="007721E9">
        <w:rPr>
          <w:i/>
        </w:rPr>
        <w:t xml:space="preserve">inter alia </w:t>
      </w:r>
      <w:r w:rsidR="00C2015A" w:rsidRPr="0019023E">
        <w:t>claimants’</w:t>
      </w:r>
      <w:r w:rsidR="00C2015A">
        <w:rPr>
          <w:i/>
        </w:rPr>
        <w:t xml:space="preserve"> </w:t>
      </w:r>
      <w:r w:rsidR="007721E9">
        <w:t xml:space="preserve">level of need, whether they are seen as blameworthy, and their gratitude for the gift </w:t>
      </w:r>
      <w:r w:rsidR="007721E9">
        <w:fldChar w:fldCharType="begin"/>
      </w:r>
      <w:r w:rsidR="007721E9">
        <w:instrText xml:space="preserve"> ADDIN EN.CITE &lt;EndNote&gt;&lt;Cite&gt;&lt;Author&gt;van Oorschot&lt;/Author&gt;&lt;Year&gt;2000&lt;/Year&gt;&lt;RecNum&gt;168&lt;/RecNum&gt;&lt;DisplayText&gt;(van Oorschot, 2000)&lt;/DisplayText&gt;&lt;record&gt;&lt;rec-number&gt;168&lt;/rec-number&gt;&lt;foreign-keys&gt;&lt;key app="EN" db-id="5xatt0094rr92mepzaexd2xzx29appesae0a" timestamp="0"&gt;168&lt;/key&gt;&lt;/foreign-keys&gt;&lt;ref-type name="Journal Article"&gt;17&lt;/ref-type&gt;&lt;contributors&gt;&lt;authors&gt;&lt;author&gt;van Oorschot,Wim&lt;/author&gt;&lt;/authors&gt;&lt;/contributors&gt;&lt;titles&gt;&lt;title&gt;Who should get what, and why?  On deservingness criteria and the conditionality of solidarity among the public&lt;/title&gt;&lt;secondary-title&gt;Policy &amp;amp; Politics&lt;/secondary-title&gt;&lt;/titles&gt;&lt;periodical&gt;&lt;full-title&gt;Policy &amp;amp; Politics&lt;/full-title&gt;&lt;/periodical&gt;&lt;pages&gt;33-48&lt;/pages&gt;&lt;volume&gt;28&lt;/volume&gt;&lt;number&gt;1&lt;/number&gt;&lt;dates&gt;&lt;year&gt;2000&lt;/year&gt;&lt;/dates&gt;&lt;urls&gt;&lt;/urls&gt;&lt;/record&gt;&lt;/Cite&gt;&lt;/EndNote&gt;</w:instrText>
      </w:r>
      <w:r w:rsidR="007721E9">
        <w:fldChar w:fldCharType="separate"/>
      </w:r>
      <w:r w:rsidR="007721E9">
        <w:rPr>
          <w:noProof/>
        </w:rPr>
        <w:t>(van Oorschot, 2000)</w:t>
      </w:r>
      <w:r w:rsidR="007721E9">
        <w:fldChar w:fldCharType="end"/>
      </w:r>
      <w:r w:rsidR="007721E9">
        <w:t xml:space="preserve"> – and almost by definition, </w:t>
      </w:r>
      <w:r w:rsidR="00B955E9">
        <w:t xml:space="preserve">claimants seen as </w:t>
      </w:r>
      <w:r>
        <w:t xml:space="preserve">‘undeserving’ have </w:t>
      </w:r>
      <w:r w:rsidR="007721E9">
        <w:t xml:space="preserve">a devalued social identity.  </w:t>
      </w:r>
      <w:r w:rsidR="0058072A">
        <w:t xml:space="preserve"> </w:t>
      </w:r>
      <w:r w:rsidR="007721E9">
        <w:t xml:space="preserve">This helps explain why benefits stigma will vary across benefits and countries: stigma will be lower where claimants are seen as entitled to their benefits, and (where entitlement is weaker) where claimants are seen as more deserving.  As Albrekt Larsen </w:t>
      </w:r>
      <w:r w:rsidR="007721E9">
        <w:fldChar w:fldCharType="begin"/>
      </w:r>
      <w:r w:rsidR="007721E9">
        <w:instrText xml:space="preserve"> ADDIN EN.CITE &lt;EndNote&gt;&lt;Cite ExcludeAuth="1"&gt;&lt;Author&gt;Albrekt Larsen&lt;/Author&gt;&lt;Year&gt;2006&lt;/Year&gt;&lt;RecNum&gt;288&lt;/RecNum&gt;&lt;DisplayText&gt;(2006)&lt;/DisplayText&gt;&lt;record&gt;&lt;rec-number&gt;288&lt;/rec-number&gt;&lt;foreign-keys&gt;&lt;key app="EN" db-id="5xatt0094rr92mepzaexd2xzx29appesae0a" timestamp="0"&gt;288&lt;/key&gt;&lt;/foreign-keys&gt;&lt;ref-type name="Book"&gt;6&lt;/ref-type&gt;&lt;contributors&gt;&lt;authors&gt;&lt;author&gt;Albrekt Larsen, Christian&lt;/author&gt;&lt;/authors&gt;&lt;/contributors&gt;&lt;titles&gt;&lt;title&gt;The institutional logic of welfare attitudes: how welfare regimes influence public support &lt;/title&gt;&lt;/titles&gt;&lt;dates&gt;&lt;year&gt;2006&lt;/year&gt;&lt;/dates&gt;&lt;pub-location&gt;Aldershot&lt;/pub-location&gt;&lt;publisher&gt;Ashgate&lt;/publisher&gt;&lt;urls&gt;&lt;/urls&gt;&lt;/record&gt;&lt;/Cite&gt;&lt;/EndNote&gt;</w:instrText>
      </w:r>
      <w:r w:rsidR="007721E9">
        <w:fldChar w:fldCharType="separate"/>
      </w:r>
      <w:r w:rsidR="007721E9">
        <w:rPr>
          <w:noProof/>
        </w:rPr>
        <w:t>(2006)</w:t>
      </w:r>
      <w:r w:rsidR="007721E9">
        <w:fldChar w:fldCharType="end"/>
      </w:r>
      <w:r w:rsidR="007721E9">
        <w:t xml:space="preserve"> has argued, </w:t>
      </w:r>
      <w:r w:rsidR="00E51AED">
        <w:t xml:space="preserve">it is </w:t>
      </w:r>
      <w:r w:rsidR="007721E9">
        <w:t xml:space="preserve">contributory or citizenship-based systems </w:t>
      </w:r>
      <w:r w:rsidR="00E51AED">
        <w:t xml:space="preserve">that </w:t>
      </w:r>
      <w:r w:rsidR="007721E9">
        <w:t>tend to close down issues of deservingness</w:t>
      </w:r>
      <w:r w:rsidR="0058072A">
        <w:t xml:space="preserve"> </w:t>
      </w:r>
      <w:r w:rsidR="00E51AED">
        <w:t>(</w:t>
      </w:r>
      <w:r w:rsidR="0058072A">
        <w:t xml:space="preserve">compared to </w:t>
      </w:r>
      <w:r w:rsidR="007721E9">
        <w:t>means-tested systems</w:t>
      </w:r>
      <w:r w:rsidR="00E51AED">
        <w:t>)</w:t>
      </w:r>
      <w:r w:rsidR="007721E9">
        <w:t xml:space="preserve"> </w:t>
      </w:r>
      <w:r w:rsidR="0058072A">
        <w:t xml:space="preserve">and </w:t>
      </w:r>
      <w:r w:rsidR="00E51AED">
        <w:t xml:space="preserve">which </w:t>
      </w:r>
      <w:r w:rsidR="0058072A">
        <w:t>are therefore likely to have lower stigma</w:t>
      </w:r>
      <w:r w:rsidR="007721E9">
        <w:t xml:space="preserve">.  </w:t>
      </w:r>
    </w:p>
    <w:p w14:paraId="74E7D09C" w14:textId="77777777" w:rsidR="0058072A" w:rsidRDefault="0058072A" w:rsidP="0058072A"/>
    <w:p w14:paraId="2ECF8466" w14:textId="3704FA3C" w:rsidR="00C51495" w:rsidRPr="00C51495" w:rsidRDefault="0058072A" w:rsidP="00C51495">
      <w:r>
        <w:t xml:space="preserve">This conceptual basis </w:t>
      </w:r>
      <w:r w:rsidR="00E51AED">
        <w:t xml:space="preserve">also </w:t>
      </w:r>
      <w:r>
        <w:t xml:space="preserve">allows us to understand the </w:t>
      </w:r>
      <w:r w:rsidR="00C51495">
        <w:t xml:space="preserve">relationship between </w:t>
      </w:r>
      <w:r w:rsidR="00C2015A">
        <w:t xml:space="preserve">the closely related concepts of </w:t>
      </w:r>
      <w:r w:rsidR="00E51AED">
        <w:t>‘</w:t>
      </w:r>
      <w:r>
        <w:t>stigma</w:t>
      </w:r>
      <w:r w:rsidR="00E51AED">
        <w:t>’</w:t>
      </w:r>
      <w:r>
        <w:t xml:space="preserve"> </w:t>
      </w:r>
      <w:r w:rsidR="00C51495">
        <w:t xml:space="preserve">and </w:t>
      </w:r>
      <w:r w:rsidR="00E51AED">
        <w:t>‘</w:t>
      </w:r>
      <w:r>
        <w:t>shame</w:t>
      </w:r>
      <w:r w:rsidR="00E51AED">
        <w:t>’</w:t>
      </w:r>
      <w:r>
        <w:t xml:space="preserve">.  </w:t>
      </w:r>
      <w:r w:rsidR="00E51AED">
        <w:t xml:space="preserve">Shame is a powerful emotion involving a negative assessment of the self compared to one’s own </w:t>
      </w:r>
      <w:r w:rsidR="00C2015A">
        <w:t xml:space="preserve">expectations </w:t>
      </w:r>
      <w:r w:rsidR="00E51AED">
        <w:t xml:space="preserve">and the imagined </w:t>
      </w:r>
      <w:r w:rsidR="00C2015A">
        <w:t xml:space="preserve">expectations </w:t>
      </w:r>
      <w:r w:rsidR="00E51AED">
        <w:t xml:space="preserve">of others </w:t>
      </w:r>
      <w:r w:rsidR="00DD3237">
        <w:fldChar w:fldCharType="begin"/>
      </w:r>
      <w:r w:rsidR="00DD3237">
        <w:instrText xml:space="preserve"> ADDIN EN.CITE &lt;EndNote&gt;&lt;Cite&gt;&lt;Author&gt;Chase&lt;/Author&gt;&lt;Year&gt;2013&lt;/Year&gt;&lt;RecNum&gt;528&lt;/RecNum&gt;&lt;DisplayText&gt;(Chase and Walker, 2013)&lt;/DisplayText&gt;&lt;record&gt;&lt;rec-number&gt;528&lt;/rec-number&gt;&lt;foreign-keys&gt;&lt;key app="EN" db-id="5xatt0094rr92mepzaexd2xzx29appesae0a" timestamp="1407320325"&gt;528&lt;/key&gt;&lt;/foreign-keys&gt;&lt;ref-type name="Journal Article"&gt;17&lt;/ref-type&gt;&lt;contributors&gt;&lt;authors&gt;&lt;author&gt;Elaine Chase &lt;/author&gt;&lt;author&gt;Robert Walker&lt;/author&gt;&lt;/authors&gt;&lt;/contributors&gt;&lt;titles&gt;&lt;title&gt;The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related-urls&gt;&lt;url&gt;http://dx.doi.org/10.1177/0038038512453796&lt;/url&gt;&lt;/related-urls&gt;&lt;/urls&gt;&lt;/record&gt;&lt;/Cite&gt;&lt;/EndNote&gt;</w:instrText>
      </w:r>
      <w:r w:rsidR="00DD3237">
        <w:fldChar w:fldCharType="separate"/>
      </w:r>
      <w:r w:rsidR="00DD3237">
        <w:rPr>
          <w:noProof/>
        </w:rPr>
        <w:t>(Chase and Walker, 2013)</w:t>
      </w:r>
      <w:r w:rsidR="00DD3237">
        <w:fldChar w:fldCharType="end"/>
      </w:r>
      <w:r w:rsidR="00BA5D5E">
        <w:t xml:space="preserve">.  It is likely to occur in social interactions where </w:t>
      </w:r>
      <w:r w:rsidR="00C2015A">
        <w:t xml:space="preserve">others </w:t>
      </w:r>
      <w:r w:rsidR="00BA5D5E">
        <w:t xml:space="preserve">(e.g. </w:t>
      </w:r>
      <w:r w:rsidR="00C2015A">
        <w:t>benefits officers) behave</w:t>
      </w:r>
      <w:r w:rsidR="00BA5D5E">
        <w:t xml:space="preserve"> as if benefits claiming is stigmatised, and more broadly, it is a possible consequence of seeing claiming benefits as a devalued status</w:t>
      </w:r>
      <w:r w:rsidR="00E51AED">
        <w:t xml:space="preserve">.  However, </w:t>
      </w:r>
      <w:r w:rsidR="00BA5D5E">
        <w:t xml:space="preserve">stigma may not lead to shame where people identify strongly with the identity in question and contest others’ devaluation </w:t>
      </w:r>
      <w:r w:rsidR="00DD3237">
        <w:fldChar w:fldCharType="begin"/>
      </w:r>
      <w:r w:rsidR="00DD3237">
        <w:instrText xml:space="preserve"> ADDIN EN.CITE &lt;EndNote&gt;&lt;Cite&gt;&lt;Author&gt;Major&lt;/Author&gt;&lt;Year&gt;2005&lt;/Year&gt;&lt;RecNum&gt;207&lt;/RecNum&gt;&lt;DisplayText&gt;(Major and O&amp;apos;Brien, 2005)&lt;/DisplayText&gt;&lt;record&gt;&lt;rec-number&gt;207&lt;/rec-number&gt;&lt;foreign-keys&gt;&lt;key app="EN" db-id="5xatt0094rr92mepzaexd2xzx29appesae0a" timestamp="0"&gt;207&lt;/key&gt;&lt;/foreign-keys&gt;&lt;ref-type name="Journal Article"&gt;17&lt;/ref-type&gt;&lt;contributors&gt;&lt;authors&gt;&lt;author&gt;Major,Brenda&lt;/author&gt;&lt;author&gt;O&amp;apos;Brien, Laurie T&lt;/author&gt;&lt;/authors&gt;&lt;/contributors&gt;&lt;titles&gt;&lt;title&gt;The social psychology of stigma&lt;/title&gt;&lt;secondary-title&gt;Annual Review of Psychology&lt;/secondary-title&gt;&lt;/titles&gt;&lt;periodical&gt;&lt;full-title&gt;Annual Review of Psychology&lt;/full-title&gt;&lt;/periodical&gt;&lt;pages&gt;393-421&lt;/pages&gt;&lt;volume&gt;56&lt;/volume&gt;&lt;dates&gt;&lt;year&gt;2005&lt;/year&gt;&lt;/dates&gt;&lt;urls&gt;&lt;/urls&gt;&lt;/record&gt;&lt;/Cite&gt;&lt;/EndNote&gt;</w:instrText>
      </w:r>
      <w:r w:rsidR="00DD3237">
        <w:fldChar w:fldCharType="separate"/>
      </w:r>
      <w:r w:rsidR="00DD3237">
        <w:rPr>
          <w:noProof/>
        </w:rPr>
        <w:t>(Major and O'Brien, 2005)</w:t>
      </w:r>
      <w:r w:rsidR="00DD3237">
        <w:fldChar w:fldCharType="end"/>
      </w:r>
      <w:r w:rsidR="004654B2">
        <w:t xml:space="preserve">, or </w:t>
      </w:r>
      <w:r w:rsidR="00BA5D5E">
        <w:t xml:space="preserve">if people </w:t>
      </w:r>
      <w:r>
        <w:t xml:space="preserve">consider </w:t>
      </w:r>
      <w:r w:rsidRPr="00AF33C5">
        <w:rPr>
          <w:i/>
        </w:rPr>
        <w:t>themselves</w:t>
      </w:r>
      <w:r>
        <w:t xml:space="preserve"> a deserving claimant</w:t>
      </w:r>
      <w:r w:rsidR="00BA5D5E">
        <w:t xml:space="preserve">, and that </w:t>
      </w:r>
      <w:r w:rsidR="0019023E">
        <w:t xml:space="preserve">the </w:t>
      </w:r>
      <w:r w:rsidR="00BA5D5E">
        <w:t xml:space="preserve">stigma </w:t>
      </w:r>
      <w:r w:rsidR="004654B2">
        <w:t>only applies</w:t>
      </w:r>
      <w:r w:rsidR="00BA5D5E">
        <w:t xml:space="preserve"> to </w:t>
      </w:r>
      <w:r>
        <w:t xml:space="preserve">undeserving others.  This has been documented in both the US </w:t>
      </w:r>
      <w:r>
        <w:fldChar w:fldCharType="begin"/>
      </w:r>
      <w:r>
        <w:instrText xml:space="preserve"> ADDIN EN.CITE &lt;EndNote&gt;&lt;Cite&gt;&lt;Author&gt;Seccombe&lt;/Author&gt;&lt;Year&gt;1998&lt;/Year&gt;&lt;RecNum&gt;549&lt;/RecNum&gt;&lt;DisplayText&gt;(Seccombe&lt;style face="italic"&gt; et al.&lt;/style&gt;, 1998)&lt;/DisplayText&gt;&lt;record&gt;&lt;rec-number&gt;549&lt;/rec-number&gt;&lt;foreign-keys&gt;&lt;key app="EN" db-id="5xatt0094rr92mepzaexd2xzx29appesae0a" timestamp="1408003693"&gt;549&lt;/key&gt;&lt;/foreign-keys&gt;&lt;ref-type name="Journal Article"&gt;17&lt;/ref-type&gt;&lt;contributors&gt;&lt;authors&gt;&lt;author&gt;Seccombe, Karen&lt;/author&gt;&lt;author&gt;James, Delores&lt;/author&gt;&lt;author&gt;Walters, Kimberly Battle&lt;/author&gt;&lt;/authors&gt;&lt;/contributors&gt;&lt;titles&gt;&lt;title&gt;&amp;quot;They Think You Ain&amp;apos;t Much of Nothing&amp;quot;: The Social Construction of the Welfare Mother&lt;/title&gt;&lt;secondary-title&gt;Journal of Marriage and Family&lt;/secondary-title&gt;&lt;/titles&gt;&lt;periodical&gt;&lt;full-title&gt;Journal of Marriage and Family&lt;/full-title&gt;&lt;/periodical&gt;&lt;pages&gt;849-865&lt;/pages&gt;&lt;volume&gt;60&lt;/volume&gt;&lt;number&gt;4&lt;/number&gt;&lt;dates&gt;&lt;year&gt;1998&lt;/year&gt;&lt;/dates&gt;&lt;publisher&gt;National Council on Family Relations&lt;/publisher&gt;&lt;isbn&gt;00222445&lt;/isbn&gt;&lt;urls&gt;&lt;related-urls&gt;&lt;url&gt;http://www.jstor.org/stable/353629&lt;/url&gt;&lt;/related-urls&gt;&lt;/urls&gt;&lt;electronic-resource-num&gt;10.2307/353629&lt;/electronic-resource-num&gt;&lt;/record&gt;&lt;/Cite&gt;&lt;/EndNote&gt;</w:instrText>
      </w:r>
      <w:r>
        <w:fldChar w:fldCharType="separate"/>
      </w:r>
      <w:r>
        <w:rPr>
          <w:noProof/>
        </w:rPr>
        <w:t>(Seccombe</w:t>
      </w:r>
      <w:r w:rsidRPr="00C75157">
        <w:rPr>
          <w:i/>
          <w:noProof/>
        </w:rPr>
        <w:t xml:space="preserve"> et al.</w:t>
      </w:r>
      <w:r>
        <w:rPr>
          <w:noProof/>
        </w:rPr>
        <w:t>, 1998)</w:t>
      </w:r>
      <w:r>
        <w:fldChar w:fldCharType="end"/>
      </w:r>
      <w:r>
        <w:t xml:space="preserve"> and Britain, where claimants often regard themselves as deserving claimants while complaining about the ‘scrounging’ of others </w:t>
      </w:r>
      <w:r>
        <w:fldChar w:fldCharType="begin">
          <w:fldData xml:space="preserve">PEVuZE5vdGU+PENpdGU+PEF1dGhvcj5HYXJ0aHdhaXRlPC9BdXRob3I+PFllYXI+MjAxNDwvWWVh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</w:fldData>
        </w:fldChar>
      </w:r>
      <w:r w:rsidR="00D975D6">
        <w:instrText xml:space="preserve"> ADDIN EN.CITE </w:instrText>
      </w:r>
      <w:r w:rsidR="00D975D6">
        <w:fldChar w:fldCharType="begin">
          <w:fldData xml:space="preserve">PEVuZE5vdGU+PENpdGU+PEF1dGhvcj5HYXJ0aHdhaXRlPC9BdXRob3I+PFllYXI+MjAxNDwvWWVh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</w:fldData>
        </w:fldChar>
      </w:r>
      <w:r w:rsidR="00D975D6">
        <w:instrText xml:space="preserve"> ADDIN EN.CITE.DATA </w:instrText>
      </w:r>
      <w:r w:rsidR="00D975D6">
        <w:fldChar w:fldCharType="end"/>
      </w:r>
      <w:r>
        <w:fldChar w:fldCharType="separate"/>
      </w:r>
      <w:r w:rsidR="009D58DD">
        <w:rPr>
          <w:noProof/>
        </w:rPr>
        <w:t>(Garthwaite, 2014:12; Shildrick and MacDonald, 2013:301; Dean and Taylor-Gooby, 1992; Chase and Walker, 2013)</w:t>
      </w:r>
      <w:r>
        <w:fldChar w:fldCharType="end"/>
      </w:r>
      <w:r>
        <w:t>.  As we shall see, this has important implications for understanding the extent and consequences of stigma.</w:t>
      </w:r>
    </w:p>
    <w:p w14:paraId="3DD4EF60" w14:textId="430DC668" w:rsidR="007721E9" w:rsidRPr="00B16E48" w:rsidRDefault="007721E9" w:rsidP="00B16E48">
      <w:pPr>
        <w:pStyle w:val="Heading3"/>
      </w:pPr>
      <w:r>
        <w:t>The extent of benefits stigma</w:t>
      </w:r>
    </w:p>
    <w:p w14:paraId="3E901C87" w14:textId="2A1E3D69" w:rsidR="007721E9" w:rsidRDefault="007721E9" w:rsidP="000A0741">
      <w:r>
        <w:t xml:space="preserve">While we therefore have some understanding of benefits stigma, there is only a limited literature that has attempted to quantitatively measure its scope.  Where surveys of claimants of means-tested benefits have been done, around half report feeling ‘embarrassed’ </w:t>
      </w:r>
      <w:r>
        <w:fldChar w:fldCharType="begin"/>
      </w:r>
      <w:r>
        <w:instrText xml:space="preserve"> ADDIN EN.CITE &lt;EndNote&gt;&lt;Cite&gt;&lt;Author&gt;Golding&lt;/Author&gt;&lt;Year&gt;1982&lt;/Year&gt;&lt;RecNum&gt;266&lt;/RecNum&gt;&lt;DisplayText&gt;(Golding and Middleton, 1982)&lt;/DisplayText&gt;&lt;record&gt;&lt;rec-number&gt;266&lt;/rec-number&gt;&lt;foreign-keys&gt;&lt;key app="EN" db-id="5xatt0094rr92mepzaexd2xzx29appesae0a" timestamp="0"&gt;266&lt;/key&gt;&lt;/foreign-keys&gt;&lt;ref-type name="Book"&gt;6&lt;/ref-type&gt;&lt;contributors&gt;&lt;authors&gt;&lt;author&gt;Peter Golding&lt;/author&gt;&lt;author&gt;Sue Middleton&lt;/author&gt;&lt;/authors&gt;&lt;/contributors&gt;&lt;titles&gt;&lt;title&gt;Images of welfare: press and public attitudes to welfare&lt;/title&gt;&lt;/titles&gt;&lt;dates&gt;&lt;year&gt;1982&lt;/year&gt;&lt;/dates&gt;&lt;pub-location&gt;Worcester&lt;/pub-location&gt;&lt;publisher&gt;Billing &amp;amp; Sons Limited&lt;/publisher&gt;&lt;urls&gt;&lt;/urls&gt;&lt;research-notes&gt;About the survey, they say (p157) - &amp;quot;These chapters are larely based on a social survey we conducted in two cities in 1977, after the violent upsurge in anti-welfare feelings of 1976, but in a period of icnome restraint, rising ifnlation and much effort to &amp;apos;stablise&amp;apos; public expenditure.*For reasons of space, methodological details have not been included in this book.  A summary is available from the authors.  650 people (a response rate of 72.2%) were interviewed in a stratified random probability sample in Leicester and Sunderland&amp;quot;&amp;#xD;- p159 - &amp;quot;We examine five areas of public perceptions: knowledge of welfare benefits; attitudes to benefits; attitudes to benefits&amp;apos; attitudes to the social effects of welfare; and opinions about claimants&amp;quot;&amp;#xD;&lt;/research-notes&gt;&lt;/record&gt;&lt;/Cite&gt;&lt;/EndNote&gt;</w:instrText>
      </w:r>
      <w:r>
        <w:fldChar w:fldCharType="separate"/>
      </w:r>
      <w:r>
        <w:rPr>
          <w:noProof/>
        </w:rPr>
        <w:t>(Golding and Middleton, 1982)</w:t>
      </w:r>
      <w:r>
        <w:fldChar w:fldCharType="end"/>
      </w:r>
      <w:r>
        <w:t xml:space="preserve"> or ‘bothered’ </w:t>
      </w:r>
      <w:r>
        <w:fldChar w:fldCharType="begin"/>
      </w:r>
      <w:r>
        <w:instrText xml:space="preserve"> ADDIN EN.CITE &lt;EndNote&gt;&lt;Cite&gt;&lt;Author&gt;Cox&lt;/Author&gt;&lt;Year&gt;1968&lt;/Year&gt;&lt;RecNum&gt;539&lt;/RecNum&gt;&lt;DisplayText&gt;(Cox, 1968)&lt;/DisplayText&gt;&lt;record&gt;&lt;rec-number&gt;539&lt;/rec-number&gt;&lt;foreign-keys&gt;&lt;key app="EN" db-id="5xatt0094rr92mepzaexd2xzx29appesae0a" timestamp="1407942036"&gt;539&lt;/key&gt;&lt;/foreign-keys&gt;&lt;ref-type name="Journal Article"&gt;17&lt;/ref-type&gt;&lt;contributors&gt;&lt;authors&gt;&lt;author&gt;Irene Cox&lt;/author&gt;&lt;/authors&gt;&lt;/contributors&gt;&lt;titles&gt;&lt;title&gt;Families on welfare in New York City&lt;/title&gt;&lt;secondary-title&gt;Welfare in Review&lt;/secondary-title&gt;&lt;/titles&gt;&lt;periodical&gt;&lt;full-title&gt;Welfare in Review&lt;/full-title&gt;&lt;/periodical&gt;&lt;pages&gt;22-26&lt;/pages&gt;&lt;volume&gt;6&lt;/volume&gt;&lt;number&gt;2&lt;/number&gt;&lt;dates&gt;&lt;year&gt;1968&lt;/year&gt;&lt;/dates&gt;&lt;urls&gt;&lt;related-urls&gt;&lt;url&gt;http://heinonline.org.chain.kent.ac.uk/HOL/Page?handle=hein.journals/welfinre6&amp;amp;collection=journals&amp;amp;set_as_cursor=141&amp;amp;men_tab=srchresults&amp;amp;type=matchall82&amp;amp;id=82&lt;/url&gt;&lt;/related-urls&gt;&lt;/urls&gt;&lt;/record&gt;&lt;/Cite&gt;&lt;/EndNote&gt;</w:instrText>
      </w:r>
      <w:r>
        <w:fldChar w:fldCharType="separate"/>
      </w:r>
      <w:r>
        <w:rPr>
          <w:noProof/>
        </w:rPr>
        <w:t>(Cox, 1968)</w:t>
      </w:r>
      <w:r>
        <w:fldChar w:fldCharType="end"/>
      </w:r>
      <w:r>
        <w:t xml:space="preserve"> about claiming.  Fewer surveys focus on how claimants perceive others think, but 19% of Danish and 34% of Finnish long-term unemployed</w:t>
      </w:r>
      <w:r w:rsidR="00345913">
        <w:t xml:space="preserve"> people</w:t>
      </w:r>
      <w:r>
        <w:t xml:space="preserve"> report feeling that ‘people looked down a little’ on them because of their claim </w:t>
      </w:r>
      <w:r>
        <w:fldChar w:fldCharType="begin"/>
      </w:r>
      <w:r>
        <w:instrText xml:space="preserve"> ADDIN EN.CITE &lt;EndNote&gt;&lt;Cite&gt;&lt;Author&gt;Albrekt Larsen&lt;/Author&gt;&lt;Year&gt;2006&lt;/Year&gt;&lt;RecNum&gt;288&lt;/RecNum&gt;&lt;Suffix&gt;`, Table 7.2&lt;/Suffix&gt;&lt;DisplayText&gt;(Albrekt Larsen, 2006, Table 7.2)&lt;/DisplayText&gt;&lt;record&gt;&lt;rec-number&gt;288&lt;/rec-number&gt;&lt;foreign-keys&gt;&lt;key app="EN" db-id="5xatt0094rr92mepzaexd2xzx29appesae0a" timestamp="0"&gt;288&lt;/key&gt;&lt;/foreign-keys&gt;&lt;ref-type name="Book"&gt;6&lt;/ref-type&gt;&lt;contributors&gt;&lt;authors&gt;&lt;author&gt;Albrekt Larsen, Christian&lt;/author&gt;&lt;/authors&gt;&lt;/contributors&gt;&lt;titles&gt;&lt;title&gt;The institutional logic of welfare attitudes: how welfare regimes influence public support &lt;/title&gt;&lt;/titles&gt;&lt;dates&gt;&lt;year&gt;2006&lt;/year&gt;&lt;/dates&gt;&lt;pub-location&gt;Aldershot&lt;/pub-location&gt;&lt;publisher&gt;Ashgate&lt;/publisher&gt;&lt;urls&gt;&lt;/urls&gt;&lt;/record&gt;&lt;/Cite&gt;&lt;/EndNote&gt;</w:instrText>
      </w:r>
      <w:r>
        <w:fldChar w:fldCharType="separate"/>
      </w:r>
      <w:r>
        <w:rPr>
          <w:noProof/>
        </w:rPr>
        <w:t>(Albrekt Larsen, 2006, Table 7.2)</w:t>
      </w:r>
      <w:r>
        <w:fldChar w:fldCharType="end"/>
      </w:r>
      <w:r>
        <w:t xml:space="preserve">.  Recent UK evidence also suggests that around a quarter of claimants have hidden their claim at some point </w:t>
      </w:r>
      <w:r>
        <w:fldChar w:fldCharType="begin"/>
      </w:r>
      <w:r>
        <w:instrText xml:space="preserve"> ADDIN EN.CITE &lt;EndNote&gt;&lt;Cite&gt;&lt;Author&gt;Who Benefits?&lt;/Author&gt;&lt;Year&gt;2013&lt;/Year&gt;&lt;RecNum&gt;540&lt;/RecNum&gt;&lt;DisplayText&gt;(Who Benefits?, 2013)&lt;/DisplayText&gt;&lt;record&gt;&lt;rec-number&gt;540&lt;/rec-number&gt;&lt;foreign-keys&gt;&lt;key app="EN" db-id="5xatt0094rr92mepzaexd2xzx29appesae0a" timestamp="1407942160"&gt;540&lt;/key&gt;&lt;/foreign-keys&gt;&lt;ref-type name="Press Release"&gt;63&lt;/ref-type&gt;&lt;contributors&gt;&lt;authors&gt;&lt;author&gt;Who Benefits?,&lt;/author&gt;&lt;/authors&gt;&lt;/contributors&gt;&lt;titles&gt;&lt;title&gt;Campaign launches to give voice to people supported by benefits&lt;/title&gt;&lt;/titles&gt;&lt;dates&gt;&lt;year&gt;2013&lt;/year&gt;&lt;/dates&gt;&lt;pub-location&gt;London&lt;/pub-location&gt;&lt;publisher&gt;Who Benefits? on behalf of The Children&amp;apos;s Society, Crisis, Gingerbread, Macmillan Cancer Support, and Mind&lt;/publisher&gt;&lt;urls&gt;&lt;related-urls&gt;&lt;url&gt;http://blog.whobenefits.org.uk/post/65117143114/launch-release [accessed 13/8/2014]&lt;/url&gt;&lt;/related-urls&gt;&lt;/urls&gt;&lt;/record&gt;&lt;/Cite&gt;&lt;/EndNote&gt;</w:instrText>
      </w:r>
      <w:r>
        <w:fldChar w:fldCharType="separate"/>
      </w:r>
      <w:r>
        <w:rPr>
          <w:noProof/>
        </w:rPr>
        <w:t>(Who Benefits?, 2013)</w:t>
      </w:r>
      <w:r>
        <w:fldChar w:fldCharType="end"/>
      </w:r>
      <w:r>
        <w:t>.</w:t>
      </w:r>
    </w:p>
    <w:p w14:paraId="7A7CD956" w14:textId="77777777" w:rsidR="007721E9" w:rsidRDefault="007721E9" w:rsidP="000A0741"/>
    <w:p w14:paraId="41078A35" w14:textId="388076C3" w:rsidR="007721E9" w:rsidRDefault="007721E9" w:rsidP="00014723">
      <w:r>
        <w:t xml:space="preserve">There are similarly few studies of the levels of stigma held by the general public. Those that exist </w:t>
      </w:r>
      <w:r w:rsidR="00EC09A1">
        <w:t xml:space="preserve">find </w:t>
      </w:r>
      <w:r>
        <w:t xml:space="preserve">that </w:t>
      </w:r>
      <w:r w:rsidR="009E5546" w:rsidRPr="009E5546">
        <w:rPr>
          <w:vertAlign w:val="superscript"/>
        </w:rPr>
        <w:t>1</w:t>
      </w:r>
      <w:r w:rsidR="009E5546">
        <w:t>/</w:t>
      </w:r>
      <w:r w:rsidR="009E5546" w:rsidRPr="009E5546">
        <w:rPr>
          <w:vertAlign w:val="subscript"/>
        </w:rPr>
        <w:t>2</w:t>
      </w:r>
      <w:r w:rsidR="004654B2">
        <w:t xml:space="preserve"> to </w:t>
      </w:r>
      <w:r w:rsidR="009E5546" w:rsidRPr="009E5546">
        <w:rPr>
          <w:vertAlign w:val="superscript"/>
        </w:rPr>
        <w:t>2</w:t>
      </w:r>
      <w:r w:rsidR="009E5546">
        <w:t>/</w:t>
      </w:r>
      <w:r w:rsidR="009E5546" w:rsidRPr="009E5546">
        <w:rPr>
          <w:vertAlign w:val="subscript"/>
        </w:rPr>
        <w:t>3</w:t>
      </w:r>
      <w:r w:rsidR="009E5546">
        <w:t xml:space="preserve"> </w:t>
      </w:r>
      <w:r w:rsidR="009E5546">
        <w:rPr>
          <w:rFonts w:ascii="Arial" w:hAnsi="Arial" w:cs="Arial"/>
        </w:rPr>
        <w:t xml:space="preserve"> </w:t>
      </w:r>
      <w:r>
        <w:t xml:space="preserve">of their samples </w:t>
      </w:r>
      <w:r w:rsidRPr="00690951">
        <w:t>would feel ‘embarrassed</w:t>
      </w:r>
      <w:r w:rsidR="00EC09A1">
        <w:t>’</w:t>
      </w:r>
      <w:r w:rsidRPr="00690951">
        <w:t xml:space="preserve"> about claiming </w:t>
      </w:r>
      <w:r w:rsidR="00DD3237">
        <w:fldChar w:fldCharType="begin"/>
      </w:r>
      <w:r w:rsidR="00DD3237">
        <w:instrText xml:space="preserve"> ADDIN EN.CITE &lt;EndNote&gt;&lt;Cite&gt;&lt;Author&gt;Who Benefits?&lt;/Author&gt;&lt;Year&gt;2013&lt;/Year&gt;&lt;RecNum&gt;540&lt;/RecNum&gt;&lt;Prefix&gt;UK`; &lt;/Prefix&gt;&lt;DisplayText&gt;(UK; Who Benefits?, 2013)&lt;/DisplayText&gt;&lt;record&gt;&lt;rec-number&gt;540&lt;/rec-number&gt;&lt;foreign-keys&gt;&lt;key app="EN" db-id="5xatt0094rr92mepzaexd2xzx29appesae0a" timestamp="1407942160"&gt;540&lt;/key&gt;&lt;/foreign-keys&gt;&lt;ref-type name="Press Release"&gt;63&lt;/ref-type&gt;&lt;contributors&gt;&lt;authors&gt;&lt;author&gt;Who Benefits?,&lt;/author&gt;&lt;/authors&gt;&lt;/contributors&gt;&lt;titles&gt;&lt;title&gt;Campaign launches to give voice to people supported by benefits&lt;/title&gt;&lt;/titles&gt;&lt;dates&gt;&lt;year&gt;2013&lt;/year&gt;&lt;/dates&gt;&lt;pub-location&gt;London&lt;/pub-location&gt;&lt;publisher&gt;Who Benefits? on behalf of The Children&amp;apos;s Society, Crisis, Gingerbread, Macmillan Cancer Support, and Mind&lt;/publisher&gt;&lt;urls&gt;&lt;related-urls&gt;&lt;url&gt;http://blog.whobenefits.org.uk/post/65117143114/launch-release [accessed 13/8/2014]&lt;/url&gt;&lt;/related-urls&gt;&lt;/urls&gt;&lt;/record&gt;&lt;/Cite&gt;&lt;/EndNote&gt;</w:instrText>
      </w:r>
      <w:r w:rsidR="00DD3237">
        <w:fldChar w:fldCharType="separate"/>
      </w:r>
      <w:r w:rsidR="00DD3237">
        <w:rPr>
          <w:noProof/>
        </w:rPr>
        <w:t>(UK; Who Benefits?, 2013)</w:t>
      </w:r>
      <w:r w:rsidR="00DD3237">
        <w:fldChar w:fldCharType="end"/>
      </w:r>
      <w:r w:rsidR="00EC09A1">
        <w:t xml:space="preserve"> or ‘do not want other people to know’ </w:t>
      </w:r>
      <w:r w:rsidR="00DD3237">
        <w:fldChar w:fldCharType="begin"/>
      </w:r>
      <w:r w:rsidR="00DD3237">
        <w:instrText xml:space="preserve"> ADDIN EN.CITE &lt;EndNote&gt;&lt;Cite&gt;&lt;Author&gt;Stuber&lt;/Author&gt;&lt;Year&gt;2004&lt;/Year&gt;&lt;RecNum&gt;209&lt;/RecNum&gt;&lt;Prefix&gt;US`; &lt;/Prefix&gt;&lt;DisplayText&gt;(US; Stuber and Kronebusch, 2004)&lt;/DisplayText&gt;&lt;record&gt;&lt;rec-number&gt;209&lt;/rec-number&gt;&lt;foreign-keys&gt;&lt;key app="EN" db-id="5xatt0094rr92mepzaexd2xzx29appesae0a" timestamp="0"&gt;209&lt;/key&gt;&lt;/foreign-keys&gt;&lt;ref-type name="Journal Article"&gt;17&lt;/ref-type&gt;&lt;contributors&gt;&lt;authors&gt;&lt;author&gt;Jennifer Stuber&lt;/author&gt;&lt;author&gt;Karl Kronebusch&lt;/author&gt;&lt;/authors&gt;&lt;/contributors&gt;&lt;titles&gt;&lt;title&gt;Stigma and Other Determinants of Participation in TANF and Medicaid&lt;/title&gt;&lt;secondary-title&gt;Journal of Policy Analysis and Management&lt;/secondary-title&gt;&lt;/titles&gt;&lt;periodical&gt;&lt;full-title&gt;Journal of Policy Analysis and Management&lt;/full-title&gt;&lt;/periodical&gt;&lt;pages&gt;509-530&lt;/pages&gt;&lt;volume&gt;23&lt;/volume&gt;&lt;number&gt;3&lt;/number&gt;&lt;dates&gt;&lt;year&gt;2004&lt;/year&gt;&lt;/dates&gt;&lt;urls&gt;&lt;/urls&gt;&lt;electronic-resource-num&gt;10.1002/pam.20024&lt;/electronic-resource-num&gt;&lt;/record&gt;&lt;/Cite&gt;&lt;/EndNote&gt;</w:instrText>
      </w:r>
      <w:r w:rsidR="00DD3237">
        <w:fldChar w:fldCharType="separate"/>
      </w:r>
      <w:r w:rsidR="00DD3237">
        <w:rPr>
          <w:noProof/>
        </w:rPr>
        <w:t>(US; Stuber and Kronebusch, 2004)</w:t>
      </w:r>
      <w:r w:rsidR="00DD3237">
        <w:fldChar w:fldCharType="end"/>
      </w:r>
      <w:r>
        <w:t>;</w:t>
      </w:r>
      <w:r w:rsidR="009E5546">
        <w:t xml:space="preserve"> </w:t>
      </w:r>
      <w:r w:rsidR="00EC09A1">
        <w:t xml:space="preserve">that people </w:t>
      </w:r>
      <w:r>
        <w:t>‘tend to look down</w:t>
      </w:r>
      <w:r w:rsidR="00EC09A1">
        <w:t>’</w:t>
      </w:r>
      <w:r>
        <w:t xml:space="preserve"> on </w:t>
      </w:r>
      <w:r w:rsidR="00EC09A1">
        <w:t xml:space="preserve">claimants </w:t>
      </w:r>
      <w:r w:rsidR="00DD3237">
        <w:fldChar w:fldCharType="begin"/>
      </w:r>
      <w:r w:rsidR="00DD3237">
        <w:instrText xml:space="preserve"> ADDIN EN.CITE &lt;EndNote&gt;&lt;Cite&gt;&lt;Author&gt;Albrekt Larsen&lt;/Author&gt;&lt;Year&gt;2006&lt;/Year&gt;&lt;RecNum&gt;288&lt;/RecNum&gt;&lt;Prefix&gt;Scandinavia`; &lt;/Prefix&gt;&lt;Suffix&gt; Table 6.2&lt;/Suffix&gt;&lt;DisplayText&gt;(Scandinavia; Albrekt Larsen, 2006 Table 6.2)&lt;/DisplayText&gt;&lt;record&gt;&lt;rec-number&gt;288&lt;/rec-number&gt;&lt;foreign-keys&gt;&lt;key app="EN" db-id="5xatt0094rr92mepzaexd2xzx29appesae0a" timestamp="0"&gt;288&lt;/key&gt;&lt;/foreign-keys&gt;&lt;ref-type name="Book"&gt;6&lt;/ref-type&gt;&lt;contributors&gt;&lt;authors&gt;&lt;author&gt;Albrekt Larsen, Christian&lt;/author&gt;&lt;/authors&gt;&lt;/contributors&gt;&lt;titles&gt;&lt;title&gt;The institutional logic of welfare attitudes: how welfare regimes influence public support &lt;/title&gt;&lt;/titles&gt;&lt;dates&gt;&lt;year&gt;2006&lt;/year&gt;&lt;/dates&gt;&lt;pub-location&gt;Aldershot&lt;/pub-location&gt;&lt;publisher&gt;Ashgate&lt;/publisher&gt;&lt;urls&gt;&lt;/urls&gt;&lt;/record&gt;&lt;/Cite&gt;&lt;/EndNote&gt;</w:instrText>
      </w:r>
      <w:r w:rsidR="00DD3237">
        <w:fldChar w:fldCharType="separate"/>
      </w:r>
      <w:r w:rsidR="00DD3237">
        <w:rPr>
          <w:noProof/>
        </w:rPr>
        <w:t>(Scandinavia; Albrekt Larsen, 2006 Table 6.2)</w:t>
      </w:r>
      <w:r w:rsidR="00DD3237">
        <w:fldChar w:fldCharType="end"/>
      </w:r>
      <w:r w:rsidR="00EC09A1">
        <w:t xml:space="preserve"> or ‘don’t respect’ them  </w:t>
      </w:r>
      <w:r w:rsidR="00DD3237">
        <w:fldChar w:fldCharType="begin"/>
      </w:r>
      <w:r w:rsidR="00DD3237">
        <w:instrText xml:space="preserve"> ADDIN EN.CITE &lt;EndNote&gt;&lt;Cite&gt;&lt;Author&gt;Stuber&lt;/Author&gt;&lt;Year&gt;2004&lt;/Year&gt;&lt;RecNum&gt;209&lt;/RecNum&gt;&lt;Prefix&gt;US`; &lt;/Prefix&gt;&lt;DisplayText&gt;(US; Stuber and Kronebusch, 2004)&lt;/DisplayText&gt;&lt;record&gt;&lt;rec-number&gt;209&lt;/rec-number&gt;&lt;foreign-keys&gt;&lt;key app="EN" db-id="5xatt0094rr92mepzaexd2xzx29appesae0a" timestamp="0"&gt;209&lt;/key&gt;&lt;/foreign-keys&gt;&lt;ref-type name="Journal Article"&gt;17&lt;/ref-type&gt;&lt;contributors&gt;&lt;authors&gt;&lt;author&gt;Jennifer Stuber&lt;/author&gt;&lt;author&gt;Karl Kronebusch&lt;/author&gt;&lt;/authors&gt;&lt;/contributors&gt;&lt;titles&gt;&lt;title&gt;Stigma and Other Determinants of Participation in TANF and Medicaid&lt;/title&gt;&lt;secondary-title&gt;Journal of Policy Analysis and Management&lt;/secondary-title&gt;&lt;/titles&gt;&lt;periodical&gt;&lt;full-title&gt;Journal of Policy Analysis and Management&lt;/full-title&gt;&lt;/periodical&gt;&lt;pages&gt;509-530&lt;/pages&gt;&lt;volume&gt;23&lt;/volume&gt;&lt;number&gt;3&lt;/number&gt;&lt;dates&gt;&lt;year&gt;2004&lt;/year&gt;&lt;/dates&gt;&lt;urls&gt;&lt;/urls&gt;&lt;electronic-resource-num&gt;10.1002/pam.20024&lt;/electronic-resource-num&gt;&lt;/record&gt;&lt;/Cite&gt;&lt;/EndNote&gt;</w:instrText>
      </w:r>
      <w:r w:rsidR="00DD3237">
        <w:fldChar w:fldCharType="separate"/>
      </w:r>
      <w:r w:rsidR="00DD3237">
        <w:rPr>
          <w:noProof/>
        </w:rPr>
        <w:t xml:space="preserve">(US; Stuber </w:t>
      </w:r>
      <w:r w:rsidR="00DD3237">
        <w:rPr>
          <w:noProof/>
        </w:rPr>
        <w:lastRenderedPageBreak/>
        <w:t>and Kronebusch, 2004)</w:t>
      </w:r>
      <w:r w:rsidR="00DD3237">
        <w:fldChar w:fldCharType="end"/>
      </w:r>
      <w:r w:rsidR="00EC09A1">
        <w:t xml:space="preserve">; or that there is ‘a stigma’ to claiming </w:t>
      </w:r>
      <w:r w:rsidR="00DD3237">
        <w:fldChar w:fldCharType="begin"/>
      </w:r>
      <w:r w:rsidR="00DD3237">
        <w:instrText xml:space="preserve"> ADDIN EN.CITE &lt;EndNote&gt;&lt;Cite&gt;&lt;Author&gt;Breese&lt;/Author&gt;&lt;Year&gt;2011&lt;/Year&gt;&lt;RecNum&gt;362&lt;/RecNum&gt;&lt;Prefix&gt;UK`; &lt;/Prefix&gt;&lt;DisplayText&gt;(UK; Breese, 2011)&lt;/DisplayText&gt;&lt;record&gt;&lt;rec-number&gt;362&lt;/rec-number&gt;&lt;foreign-keys&gt;&lt;key app="EN" db-id="5xatt0094rr92mepzaexd2xzx29appesae0a" timestamp="0"&gt;362&lt;/key&gt;&lt;/foreign-keys&gt;&lt;ref-type name="Report"&gt;27&lt;/ref-type&gt;&lt;contributors&gt;&lt;authors&gt;&lt;author&gt;Helen Breese&lt;/author&gt;&lt;/authors&gt;&lt;/contributors&gt;&lt;titles&gt;&lt;title&gt;Views on eligibility for tax credits and Child Benefit and any stigma associated with claiming these&lt;/title&gt;&lt;secondary-title&gt;HM Revenue and Customs Research Report Number 150&lt;/secondary-title&gt;&lt;/titles&gt;&lt;dates&gt;&lt;year&gt;2011&lt;/year&gt;&lt;/dates&gt;&lt;pub-location&gt;London&lt;/pub-location&gt;&lt;publisher&gt;HMRC&lt;/publisher&gt;&lt;urls&gt;&lt;related-urls&gt;&lt;url&gt;http://www.revenuebenefits.org.uk/pdf/Views_on_eligibility_for_tax_credits_and_Child_Benefit_and_any_stigma_associated_with_claiming_these.pdf&lt;/url&gt;&lt;/related-urls&gt;&lt;/urls&gt;&lt;/record&gt;&lt;/Cite&gt;&lt;/EndNote&gt;</w:instrText>
      </w:r>
      <w:r w:rsidR="00DD3237">
        <w:fldChar w:fldCharType="separate"/>
      </w:r>
      <w:r w:rsidR="00DD3237">
        <w:rPr>
          <w:noProof/>
        </w:rPr>
        <w:t>(UK; Breese, 2011)</w:t>
      </w:r>
      <w:r w:rsidR="00DD3237">
        <w:fldChar w:fldCharType="end"/>
      </w:r>
      <w:r>
        <w:t>.</w:t>
      </w:r>
      <w:r w:rsidR="009E5546">
        <w:t xml:space="preserve">  </w:t>
      </w:r>
      <w:r>
        <w:t xml:space="preserve">However, only one-in-ten say they would feel sufficiently ashamed to keep their claim a secret from their friends and family </w:t>
      </w:r>
      <w:r w:rsidR="00DD3237">
        <w:fldChar w:fldCharType="begin"/>
      </w:r>
      <w:r w:rsidR="00DD3237">
        <w:instrText xml:space="preserve"> ADDIN EN.CITE &lt;EndNote&gt;&lt;Cite&gt;&lt;Author&gt;Turn2us&lt;/Author&gt;&lt;Year&gt;2012&lt;/Year&gt;&lt;RecNum&gt;541&lt;/RecNum&gt;&lt;Prefix&gt;UK`; &lt;/Prefix&gt;&lt;DisplayText&gt;(UK; Turn2us, 2012)&lt;/DisplayText&gt;&lt;record&gt;&lt;rec-number&gt;541&lt;/rec-number&gt;&lt;foreign-keys&gt;&lt;key app="EN" db-id="5xatt0094rr92mepzaexd2xzx29appesae0a" timestamp="1407944172"&gt;541&lt;/key&gt;&lt;/foreign-keys&gt;&lt;ref-type name="Press Release"&gt;63&lt;/ref-type&gt;&lt;contributors&gt;&lt;authors&gt;&lt;author&gt;Turn2us&lt;/author&gt;&lt;/authors&gt;&lt;/contributors&gt;&lt;titles&gt;&lt;title&gt;New research reveals lack of awareness of available welfare support and benefits changes amongst those on low incomes&lt;/title&gt;&lt;/titles&gt;&lt;dates&gt;&lt;year&gt;2012&lt;/year&gt;&lt;/dates&gt;&lt;pub-location&gt;London&lt;/pub-location&gt;&lt;publisher&gt;Elizabeth Finn Care&lt;/publisher&gt;&lt;urls&gt;&lt;related-urls&gt;&lt;url&gt;http://www.turn2us.org.uk/about_us/media_centre/press_releases/bam_2012_2.aspx [accessed 13/8/2014]&lt;/url&gt;&lt;/related-urls&gt;&lt;/urls&gt;&lt;/record&gt;&lt;/Cite&gt;&lt;/EndNote&gt;</w:instrText>
      </w:r>
      <w:r w:rsidR="00DD3237">
        <w:fldChar w:fldCharType="separate"/>
      </w:r>
      <w:r w:rsidR="00DD3237">
        <w:rPr>
          <w:noProof/>
        </w:rPr>
        <w:t>(UK; Turn2us, 2012)</w:t>
      </w:r>
      <w:r w:rsidR="00DD3237">
        <w:fldChar w:fldCharType="end"/>
      </w:r>
      <w:r>
        <w:t xml:space="preserve">.  </w:t>
      </w:r>
      <w:r w:rsidR="00345913">
        <w:t xml:space="preserve">Similarly high proportions of people </w:t>
      </w:r>
      <w:r w:rsidR="00C2015A">
        <w:t>express claims stigma</w:t>
      </w:r>
      <w:r w:rsidR="00EC09A1">
        <w:t>: j</w:t>
      </w:r>
      <w:r>
        <w:t xml:space="preserve">ust under half of low-income US families agreed that ‘the application process for welfare is humiliating’ and that ‘many people are poorly treated when they apply’ </w:t>
      </w:r>
      <w:r w:rsidR="00DD3237">
        <w:fldChar w:fldCharType="begin"/>
      </w:r>
      <w:r w:rsidR="00DD3237">
        <w:instrText xml:space="preserve"> ADDIN EN.CITE &lt;EndNote&gt;&lt;Cite&gt;&lt;Author&gt;Stuber&lt;/Author&gt;&lt;Year&gt;2004&lt;/Year&gt;&lt;RecNum&gt;209&lt;/RecNum&gt;&lt;DisplayText&gt;(Stuber and Kronebusch, 2004)&lt;/DisplayText&gt;&lt;record&gt;&lt;rec-number&gt;209&lt;/rec-number&gt;&lt;foreign-keys&gt;&lt;key app="EN" db-id="5xatt0094rr92mepzaexd2xzx29appesae0a" timestamp="0"&gt;209&lt;/key&gt;&lt;/foreign-keys&gt;&lt;ref-type name="Journal Article"&gt;17&lt;/ref-type&gt;&lt;contributors&gt;&lt;authors&gt;&lt;author&gt;Jennifer Stuber&lt;/author&gt;&lt;author&gt;Karl Kronebusch&lt;/author&gt;&lt;/authors&gt;&lt;/contributors&gt;&lt;titles&gt;&lt;title&gt;Stigma and Other Determinants of Participation in TANF and Medicaid&lt;/title&gt;&lt;secondary-title&gt;Journal of Policy Analysis and Management&lt;/secondary-title&gt;&lt;/titles&gt;&lt;periodical&gt;&lt;full-title&gt;Journal of Policy Analysis and Management&lt;/full-title&gt;&lt;/periodical&gt;&lt;pages&gt;509-530&lt;/pages&gt;&lt;volume&gt;23&lt;/volume&gt;&lt;number&gt;3&lt;/number&gt;&lt;dates&gt;&lt;year&gt;2004&lt;/year&gt;&lt;/dates&gt;&lt;urls&gt;&lt;/urls&gt;&lt;electronic-resource-num&gt;10.1002/pam.20024&lt;/electronic-resource-num&gt;&lt;/record&gt;&lt;/Cite&gt;&lt;/EndNote&gt;</w:instrText>
      </w:r>
      <w:r w:rsidR="00DD3237">
        <w:fldChar w:fldCharType="separate"/>
      </w:r>
      <w:r w:rsidR="00DD3237">
        <w:rPr>
          <w:noProof/>
        </w:rPr>
        <w:t>(Stuber and Kronebusch, 2004)</w:t>
      </w:r>
      <w:r w:rsidR="00DD3237">
        <w:fldChar w:fldCharType="end"/>
      </w:r>
      <w:r>
        <w:t>, and similar proportions of British people in 2000 agreed that ‘p</w:t>
      </w:r>
      <w:r w:rsidRPr="00E70FB1">
        <w:t xml:space="preserve">eople receiving social security are made to </w:t>
      </w:r>
      <w:r>
        <w:t>feel like second class citizens’.</w:t>
      </w:r>
      <w:r>
        <w:rPr>
          <w:vertAlign w:val="superscript"/>
        </w:rPr>
        <w:t>4</w:t>
      </w:r>
    </w:p>
    <w:p w14:paraId="0FC2D873" w14:textId="52D41888" w:rsidR="007721E9" w:rsidRDefault="00C51495" w:rsidP="003D15A5">
      <w:r>
        <w:t xml:space="preserve">This suggests that benefits stigma is widespread, even if many claimants do not feel stigmatised or ashamed.  </w:t>
      </w:r>
      <w:r w:rsidR="007721E9">
        <w:t>However, there are a number of problems with these studies</w:t>
      </w:r>
      <w:r w:rsidR="004654B2">
        <w:t xml:space="preserve">: they </w:t>
      </w:r>
      <w:r w:rsidR="007721E9">
        <w:t xml:space="preserve">were </w:t>
      </w:r>
      <w:r w:rsidR="004654B2">
        <w:t xml:space="preserve">either </w:t>
      </w:r>
      <w:r w:rsidR="007721E9">
        <w:t xml:space="preserve">conducted in the 1960/70s </w:t>
      </w:r>
      <w:r w:rsidR="00C2015A">
        <w:t xml:space="preserve">using </w:t>
      </w:r>
      <w:r w:rsidR="007721E9">
        <w:t xml:space="preserve">small, unrepresentative samples </w:t>
      </w:r>
      <w:r w:rsidR="007721E9">
        <w:fldChar w:fldCharType="begin">
          <w:fldData xml:space="preserve">PEVuZE5vdGU+PENpdGU+PEF1dGhvcj5Hb2xkaW5nPC9BdXRob3I+PFllYXI+MTk4MjwvWWVhcj48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</w:fldData>
        </w:fldChar>
      </w:r>
      <w:r w:rsidR="007721E9">
        <w:instrText xml:space="preserve"> ADDIN EN.CITE </w:instrText>
      </w:r>
      <w:r w:rsidR="007721E9">
        <w:fldChar w:fldCharType="begin">
          <w:fldData xml:space="preserve">PEVuZE5vdGU+PENpdGU+PEF1dGhvcj5Hb2xkaW5nPC9BdXRob3I+PFllYXI+MTk4MjwvWWVhcj48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</w:fldData>
        </w:fldChar>
      </w:r>
      <w:r w:rsidR="007721E9">
        <w:instrText xml:space="preserve"> ADDIN EN.CITE.DATA </w:instrText>
      </w:r>
      <w:r w:rsidR="007721E9">
        <w:fldChar w:fldCharType="end"/>
      </w:r>
      <w:r w:rsidR="007721E9">
        <w:fldChar w:fldCharType="separate"/>
      </w:r>
      <w:r w:rsidR="007721E9">
        <w:rPr>
          <w:noProof/>
        </w:rPr>
        <w:t>(Golding and Middleton, 1982; Williamson, 1974)</w:t>
      </w:r>
      <w:r w:rsidR="007721E9">
        <w:fldChar w:fldCharType="end"/>
      </w:r>
      <w:r w:rsidR="004654B2">
        <w:t xml:space="preserve">, </w:t>
      </w:r>
      <w:r w:rsidR="007721E9">
        <w:t xml:space="preserve">are only asked to claimants </w:t>
      </w:r>
      <w:r w:rsidR="008C352A">
        <w:t xml:space="preserve">rather than the general population </w:t>
      </w:r>
      <w:r w:rsidR="007721E9">
        <w:fldChar w:fldCharType="begin"/>
      </w:r>
      <w:r w:rsidR="007721E9">
        <w:instrText xml:space="preserve"> ADDIN EN.CITE &lt;EndNote&gt;&lt;Cite&gt;&lt;Author&gt;Handler&lt;/Author&gt;&lt;Year&gt;1969&lt;/Year&gt;&lt;RecNum&gt;544&lt;/RecNum&gt;&lt;DisplayText&gt;(Handler and Hollingsworth, 1969; Cox, 1968)&lt;/DisplayText&gt;&lt;record&gt;&lt;rec-number&gt;544&lt;/rec-number&gt;&lt;foreign-keys&gt;&lt;key app="EN" db-id="5xatt0094rr92mepzaexd2xzx29appesae0a" timestamp="1407944681"&gt;544&lt;/key&gt;&lt;/foreign-keys&gt;&lt;ref-type name="Journal Article"&gt;17&lt;/ref-type&gt;&lt;contributors&gt;&lt;authors&gt;&lt;author&gt;J.F. Handler&lt;/author&gt;&lt;author&gt;E.J. Hollingsworth&lt;/author&gt;&lt;/authors&gt;&lt;/contributors&gt;&lt;titles&gt;&lt;title&gt;Stigma, privacy and other attitudes of welfare recipients&lt;/title&gt;&lt;secondary-title&gt;Stanford Law Review&lt;/secondary-title&gt;&lt;/titles&gt;&lt;periodical&gt;&lt;full-title&gt;Stanford Law Review&lt;/full-title&gt;&lt;/periodical&gt;&lt;pages&gt;1-19&lt;/pages&gt;&lt;volume&gt;22&lt;/volume&gt;&lt;number&gt;1&lt;/number&gt;&lt;dates&gt;&lt;year&gt;1969&lt;/year&gt;&lt;/dates&gt;&lt;urls&gt;&lt;related-urls&gt;&lt;url&gt;http://www.jstor.org/stable/1227402&lt;/url&gt;&lt;/related-urls&gt;&lt;/urls&gt;&lt;/record&gt;&lt;/Cite&gt;&lt;Cite&gt;&lt;Author&gt;Cox&lt;/Author&gt;&lt;Year&gt;1968&lt;/Year&gt;&lt;RecNum&gt;539&lt;/RecNum&gt;&lt;record&gt;&lt;rec-number&gt;539&lt;/rec-number&gt;&lt;foreign-keys&gt;&lt;key app="EN" db-id="5xatt0094rr92mepzaexd2xzx29appesae0a" timestamp="1407942036"&gt;539&lt;/key&gt;&lt;/foreign-keys&gt;&lt;ref-type name="Journal Article"&gt;17&lt;/ref-type&gt;&lt;contributors&gt;&lt;authors&gt;&lt;author&gt;Irene Cox&lt;/author&gt;&lt;/authors&gt;&lt;/contributors&gt;&lt;titles&gt;&lt;title&gt;Families on welfare in New York City&lt;/title&gt;&lt;secondary-title&gt;Welfare in Review&lt;/secondary-title&gt;&lt;/titles&gt;&lt;periodical&gt;&lt;full-title&gt;Welfare in Review&lt;/full-title&gt;&lt;/periodical&gt;&lt;pages&gt;22-26&lt;/pages&gt;&lt;volume&gt;6&lt;/volume&gt;&lt;number&gt;2&lt;/number&gt;&lt;dates&gt;&lt;year&gt;1968&lt;/year&gt;&lt;/dates&gt;&lt;urls&gt;&lt;related-urls&gt;&lt;url&gt;http://heinonline.org.chain.kent.ac.uk/HOL/Page?handle=hein.journals/welfinre6&amp;amp;collection=journals&amp;amp;set_as_cursor=141&amp;amp;men_tab=srchresults&amp;amp;type=matchall82&amp;amp;id=82&lt;/url&gt;&lt;/related-urls&gt;&lt;/urls&gt;&lt;/record&gt;&lt;/Cite&gt;&lt;/EndNote&gt;</w:instrText>
      </w:r>
      <w:r w:rsidR="007721E9">
        <w:fldChar w:fldCharType="separate"/>
      </w:r>
      <w:r w:rsidR="007721E9">
        <w:rPr>
          <w:noProof/>
        </w:rPr>
        <w:t>(Handler and Hollingsworth, 1969; Cox, 1968)</w:t>
      </w:r>
      <w:r w:rsidR="007721E9">
        <w:fldChar w:fldCharType="end"/>
      </w:r>
      <w:r w:rsidR="004654B2">
        <w:t xml:space="preserve">, or are low-quality advocacy polls </w:t>
      </w:r>
      <w:r w:rsidR="004654B2">
        <w:fldChar w:fldCharType="begin"/>
      </w:r>
      <w:r w:rsidR="004654B2">
        <w:instrText xml:space="preserve"> ADDIN EN.CITE &lt;EndNote&gt;&lt;Cite&gt;&lt;Author&gt;Turn2us&lt;/Author&gt;&lt;Year&gt;2012&lt;/Year&gt;&lt;RecNum&gt;541&lt;/RecNum&gt;&lt;DisplayText&gt;(Turn2us, 2012; Who Benefits?, 2013)&lt;/DisplayText&gt;&lt;record&gt;&lt;rec-number&gt;541&lt;/rec-number&gt;&lt;foreign-keys&gt;&lt;key app="EN" db-id="5xatt0094rr92mepzaexd2xzx29appesae0a" timestamp="1407944172"&gt;541&lt;/key&gt;&lt;/foreign-keys&gt;&lt;ref-type name="Press Release"&gt;63&lt;/ref-type&gt;&lt;contributors&gt;&lt;authors&gt;&lt;author&gt;Turn2us&lt;/author&gt;&lt;/authors&gt;&lt;/contributors&gt;&lt;titles&gt;&lt;title&gt;New research reveals lack of awareness of available welfare support and benefits changes amongst those on low incomes&lt;/title&gt;&lt;/titles&gt;&lt;dates&gt;&lt;year&gt;2012&lt;/year&gt;&lt;/dates&gt;&lt;pub-location&gt;London&lt;/pub-location&gt;&lt;publisher&gt;Elizabeth Finn Care&lt;/publisher&gt;&lt;urls&gt;&lt;related-urls&gt;&lt;url&gt;http://www.turn2us.org.uk/about_us/media_centre/press_releases/bam_2012_2.aspx [accessed 13/8/2014]&lt;/url&gt;&lt;/related-urls&gt;&lt;/urls&gt;&lt;/record&gt;&lt;/Cite&gt;&lt;Cite&gt;&lt;Author&gt;Who Benefits?&lt;/Author&gt;&lt;Year&gt;2013&lt;/Year&gt;&lt;RecNum&gt;540&lt;/RecNum&gt;&lt;record&gt;&lt;rec-number&gt;540&lt;/rec-number&gt;&lt;foreign-keys&gt;&lt;key app="EN" db-id="5xatt0094rr92mepzaexd2xzx29appesae0a" timestamp="1407942160"&gt;540&lt;/key&gt;&lt;/foreign-keys&gt;&lt;ref-type name="Press Release"&gt;63&lt;/ref-type&gt;&lt;contributors&gt;&lt;authors&gt;&lt;author&gt;Who Benefits?,&lt;/author&gt;&lt;/authors&gt;&lt;/contributors&gt;&lt;titles&gt;&lt;title&gt;Campaign launches to give voice to people supported by benefits&lt;/title&gt;&lt;/titles&gt;&lt;dates&gt;&lt;year&gt;2013&lt;/year&gt;&lt;/dates&gt;&lt;pub-location&gt;London&lt;/pub-location&gt;&lt;publisher&gt;Who Benefits? on behalf of The Children&amp;apos;s Society, Crisis, Gingerbread, Macmillan Cancer Support, and Mind&lt;/publisher&gt;&lt;urls&gt;&lt;related-urls&gt;&lt;url&gt;http://blog.whobenefits.org.uk/post/65117143114/launch-release [accessed 13/8/2014]&lt;/url&gt;&lt;/related-urls&gt;&lt;/urls&gt;&lt;/record&gt;&lt;/Cite&gt;&lt;/EndNote&gt;</w:instrText>
      </w:r>
      <w:r w:rsidR="004654B2">
        <w:fldChar w:fldCharType="separate"/>
      </w:r>
      <w:r w:rsidR="004654B2">
        <w:rPr>
          <w:noProof/>
        </w:rPr>
        <w:t>(Turn2us, 2012; Who Benefits?, 2013)</w:t>
      </w:r>
      <w:r w:rsidR="004654B2">
        <w:fldChar w:fldCharType="end"/>
      </w:r>
      <w:r w:rsidR="007721E9">
        <w:t xml:space="preserve">.  </w:t>
      </w:r>
      <w:r w:rsidR="00C2015A">
        <w:t>T</w:t>
      </w:r>
      <w:r>
        <w:t xml:space="preserve">wo recent studies </w:t>
      </w:r>
      <w:r w:rsidR="00DD3237">
        <w:fldChar w:fldCharType="begin"/>
      </w:r>
      <w:r w:rsidR="00DD3237">
        <w:instrText xml:space="preserve"> ADDIN EN.CITE &lt;EndNote&gt;&lt;Cite&gt;&lt;Author&gt;Albrekt Larsen&lt;/Author&gt;&lt;Year&gt;2006&lt;/Year&gt;&lt;RecNum&gt;288&lt;/RecNum&gt;&lt;DisplayText&gt;(Albrekt Larsen, 2006; Stuber and Kronebusch, 2004)&lt;/DisplayText&gt;&lt;record&gt;&lt;rec-number&gt;288&lt;/rec-number&gt;&lt;foreign-keys&gt;&lt;key app="EN" db-id="5xatt0094rr92mepzaexd2xzx29appesae0a" timestamp="0"&gt;288&lt;/key&gt;&lt;/foreign-keys&gt;&lt;ref-type name="Book"&gt;6&lt;/ref-type&gt;&lt;contributors&gt;&lt;authors&gt;&lt;author&gt;Albrekt Larsen, Christian&lt;/author&gt;&lt;/authors&gt;&lt;/contributors&gt;&lt;titles&gt;&lt;title&gt;The institutional logic of welfare attitudes: how welfare regimes influence public support &lt;/title&gt;&lt;/titles&gt;&lt;dates&gt;&lt;year&gt;2006&lt;/year&gt;&lt;/dates&gt;&lt;pub-location&gt;Aldershot&lt;/pub-location&gt;&lt;publisher&gt;Ashgate&lt;/publisher&gt;&lt;urls&gt;&lt;/urls&gt;&lt;/record&gt;&lt;/Cite&gt;&lt;Cite&gt;&lt;Author&gt;Stuber&lt;/Author&gt;&lt;Year&gt;2004&lt;/Year&gt;&lt;RecNum&gt;209&lt;/RecNum&gt;&lt;record&gt;&lt;rec-number&gt;209&lt;/rec-number&gt;&lt;foreign-keys&gt;&lt;key app="EN" db-id="5xatt0094rr92mepzaexd2xzx29appesae0a" timestamp="0"&gt;209&lt;/key&gt;&lt;/foreign-keys&gt;&lt;ref-type name="Journal Article"&gt;17&lt;/ref-type&gt;&lt;contributors&gt;&lt;authors&gt;&lt;author&gt;Jennifer Stuber&lt;/author&gt;&lt;author&gt;Karl Kronebusch&lt;/author&gt;&lt;/authors&gt;&lt;/contributors&gt;&lt;titles&gt;&lt;title&gt;Stigma and Other Determinants of Participation in TANF and Medicaid&lt;/title&gt;&lt;secondary-title&gt;Journal of Policy Analysis and Management&lt;/secondary-title&gt;&lt;/titles&gt;&lt;periodical&gt;&lt;full-title&gt;Journal of Policy Analysis and Management&lt;/full-title&gt;&lt;/periodical&gt;&lt;pages&gt;509-530&lt;/pages&gt;&lt;volume&gt;23&lt;/volume&gt;&lt;number&gt;3&lt;/number&gt;&lt;dates&gt;&lt;year&gt;2004&lt;/year&gt;&lt;/dates&gt;&lt;urls&gt;&lt;/urls&gt;&lt;electronic-resource-num&gt;10.1002/pam.20024&lt;/electronic-resource-num&gt;&lt;/record&gt;&lt;/Cite&gt;&lt;/EndNote&gt;</w:instrText>
      </w:r>
      <w:r w:rsidR="00DD3237">
        <w:fldChar w:fldCharType="separate"/>
      </w:r>
      <w:r w:rsidR="00DD3237">
        <w:rPr>
          <w:noProof/>
        </w:rPr>
        <w:t>(Albrekt Larsen, 2006; Stuber and Kronebusch, 2004)</w:t>
      </w:r>
      <w:r w:rsidR="00DD3237">
        <w:fldChar w:fldCharType="end"/>
      </w:r>
      <w:r w:rsidR="007721E9">
        <w:t xml:space="preserve"> are </w:t>
      </w:r>
      <w:r w:rsidR="00C2015A">
        <w:t>particularly high-quality</w:t>
      </w:r>
      <w:r w:rsidR="007721E9">
        <w:t xml:space="preserve">, </w:t>
      </w:r>
      <w:r w:rsidR="00C2015A">
        <w:t xml:space="preserve">but </w:t>
      </w:r>
      <w:r w:rsidR="007721E9">
        <w:t>neither distinguishes ‘</w:t>
      </w:r>
      <w:r w:rsidR="00526629">
        <w:t xml:space="preserve">personal </w:t>
      </w:r>
      <w:r w:rsidR="007721E9">
        <w:t xml:space="preserve">stigma’ from ‘stigmatisation’, nor compares stigma among claimants vs. non-claimants, nor examines whether there is any evidence of a ‘dependency culture’.  Building on both of these studies in our own survey, we return to these issues below. </w:t>
      </w:r>
    </w:p>
    <w:p w14:paraId="64B7C4DA" w14:textId="11166C9E" w:rsidR="007721E9" w:rsidRDefault="007721E9" w:rsidP="006152D1">
      <w:pPr>
        <w:pStyle w:val="Heading3"/>
      </w:pPr>
      <w:r>
        <w:t>Stigma and benefits take-up</w:t>
      </w:r>
    </w:p>
    <w:p w14:paraId="390B5508" w14:textId="379B5079" w:rsidR="007721E9" w:rsidRDefault="007721E9" w:rsidP="006152D1">
      <w:r>
        <w:t xml:space="preserve">A more common way of looking at stigma is to see if people </w:t>
      </w:r>
      <w:r w:rsidR="00C2015A">
        <w:t xml:space="preserve">give shame-related reasons </w:t>
      </w:r>
      <w:r>
        <w:t xml:space="preserve">for non-take-up.  Perhaps against expectations, though, these studies consistently show that </w:t>
      </w:r>
      <w:r w:rsidR="00DD3237">
        <w:t xml:space="preserve">shame/stigma are </w:t>
      </w:r>
      <w:r w:rsidR="00C2015A">
        <w:t xml:space="preserve">only </w:t>
      </w:r>
      <w:r>
        <w:t xml:space="preserve">cited by 5-25% of eligible non-recipients, who instead predominantly say they are not eligible or do not need benefits </w:t>
      </w:r>
      <w:r>
        <w:fldChar w:fldCharType="begin"/>
      </w:r>
      <w:r>
        <w:instrText xml:space="preserve"> ADDIN EN.CITE &lt;EndNote&gt;&lt;Cite&gt;&lt;Author&gt;Daponte&lt;/Author&gt;&lt;Year&gt;1999&lt;/Year&gt;&lt;RecNum&gt;367&lt;/RecNum&gt;&lt;Prefix&gt;e.g. &lt;/Prefix&gt;&lt;DisplayText&gt;(e.g. Daponte&lt;style face="italic"&gt; et al.&lt;/style&gt;, 1999; Taylor-Gooby, 1976)&lt;/DisplayText&gt;&lt;record&gt;&lt;rec-number&gt;367&lt;/rec-number&gt;&lt;foreign-keys&gt;&lt;key app="EN" db-id="5xatt0094rr92mepzaexd2xzx29appesae0a" timestamp="0"&gt;367&lt;/key&gt;&lt;/foreign-keys&gt;&lt;ref-type name="Journal Article"&gt;17&lt;/ref-type&gt;&lt;contributors&gt;&lt;authors&gt;&lt;author&gt;Daponte,Beth Osborne &lt;/author&gt;&lt;author&gt;Seth Sanders &lt;/author&gt;&lt;author&gt;Lowell Taylor&lt;/author&gt;&lt;/authors&gt;&lt;/contributors&gt;&lt;titles&gt;&lt;title&gt;Why Do Low-Income Households not Use Food Stamps? Evidence from an Experiment&lt;/title&gt;&lt;secondary-title&gt;The Journal of Human Resources&lt;/secondary-title&gt;&lt;/titles&gt;&lt;periodical&gt;&lt;full-title&gt;The Journal of Human Resources&lt;/full-title&gt;&lt;/periodical&gt;&lt;pages&gt;612-628&lt;/pages&gt;&lt;volume&gt;34&lt;/volume&gt;&lt;number&gt;3&lt;/number&gt;&lt;dates&gt;&lt;year&gt;1999&lt;/year&gt;&lt;/dates&gt;&lt;urls&gt;&lt;related-urls&gt;&lt;url&gt;http://www.jstor.org/stable/146382&lt;/url&gt;&lt;/related-urls&gt;&lt;/urls&gt;&lt;/record&gt;&lt;/Cite&gt;&lt;Cite&gt;&lt;Author&gt;Taylor-Gooby&lt;/Author&gt;&lt;Year&gt;1976&lt;/Year&gt;&lt;RecNum&gt;220&lt;/RecNum&gt;&lt;record&gt;&lt;rec-number&gt;220&lt;/rec-number&gt;&lt;foreign-keys&gt;&lt;key app="EN" db-id="5xatt0094rr92mepzaexd2xzx29appesae0a" timestamp="0"&gt;220&lt;/key&gt;&lt;/foreign-keys&gt;&lt;ref-type name="Journal Article"&gt;17&lt;/ref-type&gt;&lt;contributors&gt;&lt;authors&gt;&lt;author&gt;Taylor-Gooby, P&lt;/author&gt;&lt;/authors&gt;&lt;/contributors&gt;&lt;titles&gt;&lt;title&gt;Rent benefits and tenants&amp;apos; attitudes: the Batley rent rebate and allowance study&lt;/title&gt;&lt;secondary-title&gt;Journal of Social Policy&lt;/secondary-title&gt;&lt;/titles&gt;&lt;periodical&gt;&lt;full-title&gt;Journal of Social Policy&lt;/full-title&gt;&lt;/periodical&gt;&lt;pages&gt;33-48&lt;/pages&gt;&lt;volume&gt;5&lt;/volume&gt;&lt;number&gt;1&lt;/number&gt;&lt;dates&gt;&lt;year&gt;1976&lt;/year&gt;&lt;/dates&gt;&lt;urls&gt;&lt;/urls&gt;&lt;electronic-resource-num&gt;10.1017/S0047279400004487 &lt;/electronic-resource-num&gt;&lt;/record&gt;&lt;/Cite&gt;&lt;/EndNote&gt;</w:instrText>
      </w:r>
      <w:r>
        <w:fldChar w:fldCharType="separate"/>
      </w:r>
      <w:r>
        <w:rPr>
          <w:noProof/>
        </w:rPr>
        <w:t>(e.g. Daponte</w:t>
      </w:r>
      <w:r w:rsidRPr="00C75157">
        <w:rPr>
          <w:i/>
          <w:noProof/>
        </w:rPr>
        <w:t xml:space="preserve"> et al.</w:t>
      </w:r>
      <w:r>
        <w:rPr>
          <w:noProof/>
        </w:rPr>
        <w:t>, 1999; Taylor-Gooby, 1976)</w:t>
      </w:r>
      <w:r>
        <w:fldChar w:fldCharType="end"/>
      </w:r>
      <w:r>
        <w:t xml:space="preserve">.  Qualitative evidence similarly suggests that stigma ‘was almost meaningless’ for </w:t>
      </w:r>
      <w:r w:rsidR="00C2015A">
        <w:t xml:space="preserve">people </w:t>
      </w:r>
      <w:r>
        <w:t xml:space="preserve">in desperate need </w:t>
      </w:r>
      <w:r>
        <w:fldChar w:fldCharType="begin"/>
      </w:r>
      <w:r>
        <w:instrText xml:space="preserve"> ADDIN EN.CITE &lt;EndNote&gt;&lt;Cite&gt;&lt;Author&gt;Rogers-Dillon&lt;/Author&gt;&lt;Year&gt;1995&lt;/Year&gt;&lt;RecNum&gt;363&lt;/RecNum&gt;&lt;Suffix&gt;:455&lt;/Suffix&gt;&lt;DisplayText&gt;(Rogers-Dillon, 1995:455)&lt;/DisplayText&gt;&lt;record&gt;&lt;rec-number&gt;363&lt;/rec-number&gt;&lt;foreign-keys&gt;&lt;key app="EN" db-id="5xatt0094rr92mepzaexd2xzx29appesae0a" timestamp="0"&gt;363&lt;/key&gt;&lt;/foreign-keys&gt;&lt;ref-type name="Journal Article"&gt;17&lt;/ref-type&gt;&lt;contributors&gt;&lt;authors&gt;&lt;author&gt;Robin Rogers-Dillon&lt;/author&gt;&lt;/authors&gt;&lt;/contributors&gt;&lt;titles&gt;&lt;title&gt;The dynamics of welfare stigma&lt;/title&gt;&lt;secondary-title&gt;Qualitative Sociology&lt;/secondary-title&gt;&lt;/titles&gt;&lt;periodical&gt;&lt;full-title&gt;Qualitative Sociology&lt;/full-title&gt;&lt;/periodical&gt;&lt;pages&gt;439-456&lt;/pages&gt;&lt;volume&gt;18&lt;/volume&gt;&lt;number&gt;4&lt;/number&gt;&lt;dates&gt;&lt;year&gt;1995&lt;/year&gt;&lt;/dates&gt;&lt;urls&gt;&lt;related-urls&gt;&lt;url&gt;http://dx.doi.org/10.1007/BF02404490&lt;/url&gt;&lt;/related-urls&gt;&lt;/urls&gt;&lt;/record&gt;&lt;/Cite&gt;&lt;/EndNote&gt;</w:instrText>
      </w:r>
      <w:r>
        <w:fldChar w:fldCharType="separate"/>
      </w:r>
      <w:r>
        <w:rPr>
          <w:noProof/>
        </w:rPr>
        <w:t>(Rogers-Dillon, 1995:455)</w:t>
      </w:r>
      <w:r>
        <w:fldChar w:fldCharType="end"/>
      </w:r>
      <w:r>
        <w:t>, while polling of the general public finds relatively small numbers saying that ‘</w:t>
      </w:r>
      <w:r w:rsidRPr="008D6160">
        <w:t xml:space="preserve">I would never claim </w:t>
      </w:r>
      <w:r w:rsidR="00DD3237">
        <w:t>w</w:t>
      </w:r>
      <w:r w:rsidR="00DD3237" w:rsidRPr="008D6160">
        <w:t xml:space="preserve">elfare </w:t>
      </w:r>
      <w:r w:rsidR="00DD3237">
        <w:t>b</w:t>
      </w:r>
      <w:r w:rsidR="00DD3237" w:rsidRPr="008D6160">
        <w:t>enefits</w:t>
      </w:r>
      <w:r w:rsidRPr="008D6160">
        <w:t>, even if needed, as I couldn’t live with the shame</w:t>
      </w:r>
      <w:r>
        <w:t xml:space="preserve">’ </w:t>
      </w:r>
      <w:r>
        <w:fldChar w:fldCharType="begin"/>
      </w:r>
      <w:r>
        <w:instrText xml:space="preserve"> ADDIN EN.CITE &lt;EndNote&gt;&lt;Cite&gt;&lt;Author&gt;Turn2us&lt;/Author&gt;&lt;Year&gt;2012&lt;/Year&gt;&lt;RecNum&gt;541&lt;/RecNum&gt;&lt;Prefix&gt;4% in &lt;/Prefix&gt;&lt;DisplayText&gt;(4% in Turn2us, 2012)&lt;/DisplayText&gt;&lt;record&gt;&lt;rec-number&gt;541&lt;/rec-number&gt;&lt;foreign-keys&gt;&lt;key app="EN" db-id="5xatt0094rr92mepzaexd2xzx29appesae0a" timestamp="1407944172"&gt;541&lt;/key&gt;&lt;/foreign-keys&gt;&lt;ref-type name="Press Release"&gt;63&lt;/ref-type&gt;&lt;contributors&gt;&lt;authors&gt;&lt;author&gt;Turn2us&lt;/author&gt;&lt;/authors&gt;&lt;/contributors&gt;&lt;titles&gt;&lt;title&gt;New research reveals lack of awareness of available welfare support and benefits changes amongst those on low incomes&lt;/title&gt;&lt;/titles&gt;&lt;dates&gt;&lt;year&gt;2012&lt;/year&gt;&lt;/dates&gt;&lt;pub-location&gt;London&lt;/pub-location&gt;&lt;publisher&gt;Elizabeth Finn Care&lt;/publisher&gt;&lt;urls&gt;&lt;related-urls&gt;&lt;url&gt;http://www.turn2us.org.uk/about_us/media_centre/press_releases/bam_2012_2.aspx [accessed 13/8/2014]&lt;/url&gt;&lt;/related-urls&gt;&lt;/urls&gt;&lt;/record&gt;&lt;/Cite&gt;&lt;/EndNote&gt;</w:instrText>
      </w:r>
      <w:r>
        <w:fldChar w:fldCharType="separate"/>
      </w:r>
      <w:r>
        <w:rPr>
          <w:noProof/>
        </w:rPr>
        <w:t>(4% in Turn2us, 2012)</w:t>
      </w:r>
      <w:r>
        <w:fldChar w:fldCharType="end"/>
      </w:r>
      <w:r>
        <w:t xml:space="preserve"> or ‘</w:t>
      </w:r>
      <w:r w:rsidRPr="008D6160">
        <w:t xml:space="preserve">I would feel embarrassed and therefore would not claim </w:t>
      </w:r>
      <w:r>
        <w:t xml:space="preserve">[benefits]’ </w:t>
      </w:r>
      <w:r>
        <w:fldChar w:fldCharType="begin"/>
      </w:r>
      <w:r>
        <w:instrText xml:space="preserve"> ADDIN EN.CITE &lt;EndNote&gt;&lt;Cite&gt;&lt;Author&gt;Who Benefits?&lt;/Author&gt;&lt;Year&gt;2013&lt;/Year&gt;&lt;RecNum&gt;540&lt;/RecNum&gt;&lt;Prefix&gt;12% in &lt;/Prefix&gt;&lt;DisplayText&gt;(12% in Who Benefits?, 2013)&lt;/DisplayText&gt;&lt;record&gt;&lt;rec-number&gt;540&lt;/rec-number&gt;&lt;foreign-keys&gt;&lt;key app="EN" db-id="5xatt0094rr92mepzaexd2xzx29appesae0a" timestamp="1407942160"&gt;540&lt;/key&gt;&lt;/foreign-keys&gt;&lt;ref-type name="Press Release"&gt;63&lt;/ref-type&gt;&lt;contributors&gt;&lt;authors&gt;&lt;author&gt;Who Benefits?,&lt;/author&gt;&lt;/authors&gt;&lt;/contributors&gt;&lt;titles&gt;&lt;title&gt;Campaign launches to give voice to people supported by benefits&lt;/title&gt;&lt;/titles&gt;&lt;dates&gt;&lt;year&gt;2013&lt;/year&gt;&lt;/dates&gt;&lt;pub-location&gt;London&lt;/pub-location&gt;&lt;publisher&gt;Who Benefits? on behalf of The Children&amp;apos;s Society, Crisis, Gingerbread, Macmillan Cancer Support, and Mind&lt;/publisher&gt;&lt;urls&gt;&lt;related-urls&gt;&lt;url&gt;http://blog.whobenefits.org.uk/post/65117143114/launch-release [accessed 13/8/2014]&lt;/url&gt;&lt;/related-urls&gt;&lt;/urls&gt;&lt;/record&gt;&lt;/Cite&gt;&lt;/EndNote&gt;</w:instrText>
      </w:r>
      <w:r>
        <w:fldChar w:fldCharType="separate"/>
      </w:r>
      <w:r>
        <w:rPr>
          <w:noProof/>
        </w:rPr>
        <w:t>(12% in Who Benefits?, 2013)</w:t>
      </w:r>
      <w:r>
        <w:fldChar w:fldCharType="end"/>
      </w:r>
      <w:r>
        <w:t>.</w:t>
      </w:r>
    </w:p>
    <w:p w14:paraId="7C995505" w14:textId="77777777" w:rsidR="007721E9" w:rsidRDefault="007721E9" w:rsidP="006152D1"/>
    <w:p w14:paraId="4EDAE7A0" w14:textId="10F97516" w:rsidR="007721E9" w:rsidRDefault="007721E9" w:rsidP="00901C82">
      <w:pPr>
        <w:rPr>
          <w:rFonts w:cs="VAGRounded LT Light"/>
          <w:color w:val="000000"/>
          <w:szCs w:val="22"/>
        </w:rPr>
      </w:pPr>
      <w:r>
        <w:t xml:space="preserve">While some therefore believe that stigma is not a major driver of take-up </w:t>
      </w:r>
      <w:r>
        <w:fldChar w:fldCharType="begin"/>
      </w:r>
      <w:r>
        <w:instrText xml:space="preserve"> ADDIN EN.CITE &lt;EndNote&gt;&lt;Cite&gt;&lt;Author&gt;Spicker&lt;/Author&gt;&lt;Year&gt;1984&lt;/Year&gt;&lt;RecNum&gt;213&lt;/RecNum&gt;&lt;Suffix&gt;:65&lt;/Suffix&gt;&lt;DisplayText&gt;(Spicker, 1984:65)&lt;/DisplayText&gt;&lt;record&gt;&lt;rec-number&gt;213&lt;/rec-number&gt;&lt;foreign-keys&gt;&lt;key app="EN" db-id="5xatt0094rr92mepzaexd2xzx29appesae0a" timestamp="0"&gt;213&lt;/key&gt;&lt;/foreign-keys&gt;&lt;ref-type name="Book"&gt;6&lt;/ref-type&gt;&lt;contributors&gt;&lt;authors&gt;&lt;author&gt;Spicker,Paul&lt;/author&gt;&lt;/authors&gt;&lt;/contributors&gt;&lt;titles&gt;&lt;title&gt;Stigma and social welfare&lt;/title&gt;&lt;/titles&gt;&lt;dates&gt;&lt;year&gt;1984&lt;/year&gt;&lt;/dates&gt;&lt;publisher&gt;Croom Helm&lt;/publisher&gt;&lt;urls&gt;&lt;related-urls&gt;&lt;url&gt;http://www2.rgu.ac.uk/publicpolicy/introduction/books/stigma.htm&lt;/url&gt;&lt;/related-urls&gt;&lt;/urls&gt;&lt;/record&gt;&lt;/Cite&gt;&lt;/EndNote&gt;</w:instrText>
      </w:r>
      <w:r>
        <w:fldChar w:fldCharType="separate"/>
      </w:r>
      <w:r>
        <w:rPr>
          <w:noProof/>
        </w:rPr>
        <w:t>(Spicker, 1984:65)</w:t>
      </w:r>
      <w:r>
        <w:fldChar w:fldCharType="end"/>
      </w:r>
      <w:r>
        <w:t xml:space="preserve">, another explanation is that stigma is being under-reported as </w:t>
      </w:r>
      <w:r>
        <w:rPr>
          <w:rFonts w:cs="VAGRounded LT Light"/>
          <w:color w:val="000000"/>
          <w:szCs w:val="22"/>
        </w:rPr>
        <w:t xml:space="preserve">‘the admission of stigma is itself stigmatising’ </w:t>
      </w:r>
      <w:r>
        <w:rPr>
          <w:rFonts w:cs="VAGRounded LT Light"/>
          <w:color w:val="000000"/>
          <w:szCs w:val="22"/>
        </w:rPr>
        <w:fldChar w:fldCharType="begin"/>
      </w:r>
      <w:r>
        <w:rPr>
          <w:rFonts w:cs="VAGRounded LT Light"/>
          <w:color w:val="000000"/>
          <w:szCs w:val="22"/>
        </w:rPr>
        <w:instrText xml:space="preserve"> ADDIN EN.CITE &lt;EndNote&gt;&lt;Cite&gt;&lt;Author&gt;Taylor-Gooby&lt;/Author&gt;&lt;Year&gt;1976&lt;/Year&gt;&lt;RecNum&gt;220&lt;/RecNum&gt;&lt;Suffix&gt;:37&lt;/Suffix&gt;&lt;DisplayText&gt;(Taylor-Gooby, 1976:37)&lt;/DisplayText&gt;&lt;record&gt;&lt;rec-number&gt;220&lt;/rec-number&gt;&lt;foreign-keys&gt;&lt;key app="EN" db-id="5xatt0094rr92mepzaexd2xzx29appesae0a" timestamp="0"&gt;220&lt;/key&gt;&lt;/foreign-keys&gt;&lt;ref-type name="Journal Article"&gt;17&lt;/ref-type&gt;&lt;contributors&gt;&lt;authors&gt;&lt;author&gt;Taylor-Gooby, P&lt;/author&gt;&lt;/authors&gt;&lt;/contributors&gt;&lt;titles&gt;&lt;title&gt;Rent benefits and tenants&amp;apos; attitudes: the Batley rent rebate and allowance study&lt;/title&gt;&lt;secondary-title&gt;Journal of Social Policy&lt;/secondary-title&gt;&lt;/titles&gt;&lt;periodical&gt;&lt;full-title&gt;Journal of Social Policy&lt;/full-title&gt;&lt;/periodical&gt;&lt;pages&gt;33-48&lt;/pages&gt;&lt;volume&gt;5&lt;/volume&gt;&lt;number&gt;1&lt;/number&gt;&lt;dates&gt;&lt;year&gt;1976&lt;/year&gt;&lt;/dates&gt;&lt;urls&gt;&lt;/urls&gt;&lt;electronic-resource-num&gt;10.1017/S0047279400004487 &lt;/electronic-resource-num&gt;&lt;/record&gt;&lt;/Cite&gt;&lt;/EndNote&gt;</w:instrText>
      </w:r>
      <w:r>
        <w:rPr>
          <w:rFonts w:cs="VAGRounded LT Light"/>
          <w:color w:val="000000"/>
          <w:szCs w:val="22"/>
        </w:rPr>
        <w:fldChar w:fldCharType="separate"/>
      </w:r>
      <w:r>
        <w:rPr>
          <w:rFonts w:cs="VAGRounded LT Light"/>
          <w:noProof/>
          <w:color w:val="000000"/>
          <w:szCs w:val="22"/>
        </w:rPr>
        <w:t>(Taylor-Gooby, 1976:37)</w:t>
      </w:r>
      <w:r>
        <w:rPr>
          <w:rFonts w:cs="VAGRounded LT Light"/>
          <w:color w:val="000000"/>
          <w:szCs w:val="22"/>
        </w:rPr>
        <w:fldChar w:fldCharType="end"/>
      </w:r>
      <w:r w:rsidR="00DD3237">
        <w:rPr>
          <w:rFonts w:cs="VAGRounded LT Light"/>
          <w:color w:val="000000"/>
          <w:szCs w:val="22"/>
        </w:rPr>
        <w:t xml:space="preserve">, with some respondents </w:t>
      </w:r>
      <w:r w:rsidR="004654B2">
        <w:rPr>
          <w:rFonts w:cs="VAGRounded LT Light"/>
          <w:color w:val="000000"/>
          <w:szCs w:val="22"/>
        </w:rPr>
        <w:t xml:space="preserve">instead </w:t>
      </w:r>
      <w:r w:rsidR="00DD3237">
        <w:rPr>
          <w:rFonts w:cs="VAGRounded LT Light"/>
          <w:color w:val="000000"/>
          <w:szCs w:val="22"/>
        </w:rPr>
        <w:t xml:space="preserve">using ‘colloquialisms of shame’ like ‘embarrassment’ </w:t>
      </w:r>
      <w:r w:rsidR="00DD3237">
        <w:rPr>
          <w:rFonts w:cs="VAGRounded LT Light"/>
          <w:color w:val="000000"/>
          <w:szCs w:val="22"/>
        </w:rPr>
        <w:fldChar w:fldCharType="begin"/>
      </w:r>
      <w:r w:rsidR="00DD3237">
        <w:rPr>
          <w:rFonts w:cs="VAGRounded LT Light"/>
          <w:color w:val="000000"/>
          <w:szCs w:val="22"/>
        </w:rPr>
        <w:instrText xml:space="preserve"> ADDIN EN.CITE &lt;EndNote&gt;&lt;Cite&gt;&lt;Author&gt;Chase&lt;/Author&gt;&lt;Year&gt;2013&lt;/Year&gt;&lt;RecNum&gt;528&lt;/RecNum&gt;&lt;Suffix&gt;:5&lt;/Suffix&gt;&lt;DisplayText&gt;(Chase and Walker, 2013:5)&lt;/DisplayText&gt;&lt;record&gt;&lt;rec-number&gt;528&lt;/rec-number&gt;&lt;foreign-keys&gt;&lt;key app="EN" db-id="5xatt0094rr92mepzaexd2xzx29appesae0a" timestamp="1407320325"&gt;528&lt;/key&gt;&lt;/foreign-keys&gt;&lt;ref-type name="Journal Article"&gt;17&lt;/ref-type&gt;&lt;contributors&gt;&lt;authors&gt;&lt;author&gt;Elaine Chase &lt;/author&gt;&lt;author&gt;Robert Walker&lt;/author&gt;&lt;/authors&gt;&lt;/contributors&gt;&lt;titles&gt;&lt;title&gt;The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related-urls&gt;&lt;url&gt;http://dx.doi.org/10.1177/0038038512453796&lt;/url&gt;&lt;/related-urls&gt;&lt;/urls&gt;&lt;/record&gt;&lt;/Cite&gt;&lt;/EndNote&gt;</w:instrText>
      </w:r>
      <w:r w:rsidR="00DD3237">
        <w:rPr>
          <w:rFonts w:cs="VAGRounded LT Light"/>
          <w:color w:val="000000"/>
          <w:szCs w:val="22"/>
        </w:rPr>
        <w:fldChar w:fldCharType="separate"/>
      </w:r>
      <w:r w:rsidR="00DD3237">
        <w:rPr>
          <w:rFonts w:cs="VAGRounded LT Light"/>
          <w:noProof/>
          <w:color w:val="000000"/>
          <w:szCs w:val="22"/>
        </w:rPr>
        <w:t>(Chase and Walker, 2013:5)</w:t>
      </w:r>
      <w:r w:rsidR="00DD3237">
        <w:rPr>
          <w:rFonts w:cs="VAGRounded LT Light"/>
          <w:color w:val="000000"/>
          <w:szCs w:val="22"/>
        </w:rPr>
        <w:fldChar w:fldCharType="end"/>
      </w:r>
      <w:r w:rsidR="00DD3237">
        <w:rPr>
          <w:rFonts w:cs="VAGRounded LT Light"/>
          <w:color w:val="000000"/>
          <w:szCs w:val="22"/>
        </w:rPr>
        <w:t xml:space="preserve">, </w:t>
      </w:r>
      <w:r w:rsidR="004654B2">
        <w:rPr>
          <w:rFonts w:cs="VAGRounded LT Light"/>
          <w:color w:val="000000"/>
          <w:szCs w:val="22"/>
        </w:rPr>
        <w:t xml:space="preserve">and others not admitting to </w:t>
      </w:r>
      <w:r w:rsidR="00DD3237">
        <w:rPr>
          <w:rFonts w:cs="VAGRounded LT Light"/>
          <w:color w:val="000000"/>
          <w:szCs w:val="22"/>
        </w:rPr>
        <w:t>negative feelings at all</w:t>
      </w:r>
      <w:r>
        <w:rPr>
          <w:rFonts w:cs="VAGRounded LT Light"/>
          <w:color w:val="000000"/>
          <w:szCs w:val="22"/>
        </w:rPr>
        <w:t xml:space="preserve">. Supporting this view </w:t>
      </w:r>
      <w:r>
        <w:rPr>
          <w:rFonts w:cs="VAGRounded LT Light"/>
          <w:color w:val="000000"/>
          <w:szCs w:val="22"/>
        </w:rPr>
        <w:fldChar w:fldCharType="begin"/>
      </w:r>
      <w:r>
        <w:rPr>
          <w:rFonts w:cs="VAGRounded LT Light"/>
          <w:color w:val="000000"/>
          <w:szCs w:val="22"/>
        </w:rPr>
        <w:instrText xml:space="preserve"> ADDIN EN.CITE &lt;EndNote&gt;&lt;Cite&gt;&lt;Author&gt;Daponte&lt;/Author&gt;&lt;Year&gt;1999&lt;/Year&gt;&lt;RecNum&gt;367&lt;/RecNum&gt;&lt;Prefix&gt;although see &lt;/Prefix&gt;&lt;DisplayText&gt;(although see Daponte&lt;style face="italic"&gt; et al.&lt;/style&gt;, 1999)&lt;/DisplayText&gt;&lt;record&gt;&lt;rec-number&gt;367&lt;/rec-number&gt;&lt;foreign-keys&gt;&lt;key app="EN" db-id="5xatt0094rr92mepzaexd2xzx29appesae0a" timestamp="0"&gt;367&lt;/key&gt;&lt;/foreign-keys&gt;&lt;ref-type name="Journal Article"&gt;17&lt;/ref-type&gt;&lt;contributors&gt;&lt;authors&gt;&lt;author&gt;Daponte,Beth Osborne &lt;/author&gt;&lt;author&gt;Seth Sanders &lt;/author&gt;&lt;author&gt;Lowell Taylor&lt;/author&gt;&lt;/authors&gt;&lt;/contributors&gt;&lt;titles&gt;&lt;title&gt;Why Do Low-Income Households not Use Food Stamps? Evidence from an Experiment&lt;/title&gt;&lt;secondary-title&gt;The Journal of Human Resources&lt;/secondary-title&gt;&lt;/titles&gt;&lt;periodical&gt;&lt;full-title&gt;The Journal of Human Resources&lt;/full-title&gt;&lt;/periodical&gt;&lt;pages&gt;612-628&lt;/pages&gt;&lt;volume&gt;34&lt;/volume&gt;&lt;number&gt;3&lt;/number&gt;&lt;dates&gt;&lt;year&gt;1999&lt;/year&gt;&lt;/dates&gt;&lt;urls&gt;&lt;related-urls&gt;&lt;url&gt;http://www.jstor.org/stable/146382&lt;/url&gt;&lt;/related-urls&gt;&lt;/urls&gt;&lt;/record&gt;&lt;/Cite&gt;&lt;/EndNote&gt;</w:instrText>
      </w:r>
      <w:r>
        <w:rPr>
          <w:rFonts w:cs="VAGRounded LT Light"/>
          <w:color w:val="000000"/>
          <w:szCs w:val="22"/>
        </w:rPr>
        <w:fldChar w:fldCharType="separate"/>
      </w:r>
      <w:r>
        <w:rPr>
          <w:rFonts w:cs="VAGRounded LT Light"/>
          <w:noProof/>
          <w:color w:val="000000"/>
          <w:szCs w:val="22"/>
        </w:rPr>
        <w:t>(although see Daponte</w:t>
      </w:r>
      <w:r w:rsidRPr="00C75157">
        <w:rPr>
          <w:rFonts w:cs="VAGRounded LT Light"/>
          <w:i/>
          <w:noProof/>
          <w:color w:val="000000"/>
          <w:szCs w:val="22"/>
        </w:rPr>
        <w:t xml:space="preserve"> et al.</w:t>
      </w:r>
      <w:r>
        <w:rPr>
          <w:rFonts w:cs="VAGRounded LT Light"/>
          <w:noProof/>
          <w:color w:val="000000"/>
          <w:szCs w:val="22"/>
        </w:rPr>
        <w:t>, 1999)</w:t>
      </w:r>
      <w:r>
        <w:rPr>
          <w:rFonts w:cs="VAGRounded LT Light"/>
          <w:color w:val="000000"/>
          <w:szCs w:val="22"/>
        </w:rPr>
        <w:fldChar w:fldCharType="end"/>
      </w:r>
      <w:r>
        <w:rPr>
          <w:rFonts w:cs="VAGRounded LT Light"/>
          <w:color w:val="000000"/>
          <w:szCs w:val="22"/>
        </w:rPr>
        <w:t xml:space="preserve">, some non-recipients continue not to claim after being told they are eligible </w:t>
      </w:r>
      <w:r>
        <w:rPr>
          <w:rFonts w:cs="VAGRounded LT Light"/>
          <w:color w:val="000000"/>
          <w:szCs w:val="22"/>
        </w:rPr>
        <w:fldChar w:fldCharType="begin"/>
      </w:r>
      <w:r>
        <w:rPr>
          <w:rFonts w:cs="VAGRounded LT Light"/>
          <w:color w:val="000000"/>
          <w:szCs w:val="22"/>
        </w:rPr>
        <w:instrText xml:space="preserve"> ADDIN EN.CITE &lt;EndNote&gt;&lt;Cite&gt;&lt;Author&gt;Taylor-Gooby&lt;/Author&gt;&lt;Year&gt;1976&lt;/Year&gt;&lt;RecNum&gt;220&lt;/RecNum&gt;&lt;DisplayText&gt;(Taylor-Gooby, 1976)&lt;/DisplayText&gt;&lt;record&gt;&lt;rec-number&gt;220&lt;/rec-number&gt;&lt;foreign-keys&gt;&lt;key app="EN" db-id="5xatt0094rr92mepzaexd2xzx29appesae0a" timestamp="0"&gt;220&lt;/key&gt;&lt;/foreign-keys&gt;&lt;ref-type name="Journal Article"&gt;17&lt;/ref-type&gt;&lt;contributors&gt;&lt;authors&gt;&lt;author&gt;Taylor-Gooby, P&lt;/author&gt;&lt;/authors&gt;&lt;/contributors&gt;&lt;titles&gt;&lt;title&gt;Rent benefits and tenants&amp;apos; attitudes: the Batley rent rebate and allowance study&lt;/title&gt;&lt;secondary-title&gt;Journal of Social Policy&lt;/secondary-title&gt;&lt;/titles&gt;&lt;periodical&gt;&lt;full-title&gt;Journal of Social Policy&lt;/full-title&gt;&lt;/periodical&gt;&lt;pages&gt;33-48&lt;/pages&gt;&lt;volume&gt;5&lt;/volume&gt;&lt;number&gt;1&lt;/number&gt;&lt;dates&gt;&lt;year&gt;1976&lt;/year&gt;&lt;/dates&gt;&lt;urls&gt;&lt;/urls&gt;&lt;electronic-resource-num&gt;10.1017/S0047279400004487 &lt;/electronic-resource-num&gt;&lt;/record&gt;&lt;/Cite&gt;&lt;/EndNote&gt;</w:instrText>
      </w:r>
      <w:r>
        <w:rPr>
          <w:rFonts w:cs="VAGRounded LT Light"/>
          <w:color w:val="000000"/>
          <w:szCs w:val="22"/>
        </w:rPr>
        <w:fldChar w:fldCharType="separate"/>
      </w:r>
      <w:r>
        <w:rPr>
          <w:rFonts w:cs="VAGRounded LT Light"/>
          <w:noProof/>
          <w:color w:val="000000"/>
          <w:szCs w:val="22"/>
        </w:rPr>
        <w:t>(Taylor-Gooby, 1976)</w:t>
      </w:r>
      <w:r>
        <w:rPr>
          <w:rFonts w:cs="VAGRounded LT Light"/>
          <w:color w:val="000000"/>
          <w:szCs w:val="22"/>
        </w:rPr>
        <w:fldChar w:fldCharType="end"/>
      </w:r>
      <w:r>
        <w:rPr>
          <w:rFonts w:cs="VAGRounded LT Light"/>
          <w:color w:val="000000"/>
          <w:szCs w:val="22"/>
        </w:rPr>
        <w:t xml:space="preserve">, and some claimants’ descriptions of not feeling eligible seem closely linked to stigma </w:t>
      </w:r>
      <w:r>
        <w:rPr>
          <w:rFonts w:cs="VAGRounded LT Light"/>
          <w:color w:val="000000"/>
          <w:szCs w:val="22"/>
        </w:rPr>
        <w:fldChar w:fldCharType="begin"/>
      </w:r>
      <w:r w:rsidR="00D975D6">
        <w:rPr>
          <w:rFonts w:cs="VAGRounded LT Light"/>
          <w:color w:val="000000"/>
          <w:szCs w:val="22"/>
        </w:rPr>
        <w:instrText xml:space="preserve"> ADDIN EN.CITE &lt;EndNote&gt;&lt;Cite&gt;&lt;Author&gt;Garthwaite&lt;/Author&gt;&lt;Year&gt;2014&lt;/Year&gt;&lt;RecNum&gt;543&lt;/RecNum&gt;&lt;Suffix&gt;:9&lt;/Suffix&gt;&lt;DisplayText&gt;(Garthwaite, 2014:9)&lt;/DisplayText&gt;&lt;record&gt;&lt;rec-number&gt;543&lt;/rec-number&gt;&lt;foreign-keys&gt;&lt;key app="EN" db-id="5xatt0094rr92mepzaexd2xzx29appesae0a" timestamp="1407944342"&gt;543&lt;/key&gt;&lt;/foreign-keys&gt;&lt;ref-type name="Journal Article"&gt;17&lt;/ref-type&gt;&lt;contributors&gt;&lt;authors&gt;&lt;author&gt;Garthwaite, Kayleigh&lt;/author&gt;&lt;/authors&gt;&lt;/contributors&gt;&lt;titles&gt;&lt;title&gt;Fear of the Brown Envelope: Exploring Welfare Reform with Long-Term Sickness Benefits Recipients&lt;/title&gt;&lt;secondary-title&gt;Social Policy &amp;amp; Administration&lt;/secondary-title&gt;&lt;/titles&gt;&lt;periodical&gt;&lt;full-title&gt;Social Policy &amp;amp; Administration&lt;/full-title&gt;&lt;/periodical&gt;&lt;pages&gt;782-798&lt;/pages&gt;&lt;volume&gt;48&lt;/volume&gt;&lt;number&gt;7&lt;/number&gt;&lt;dates&gt;&lt;year&gt;2014&lt;/year&gt;&lt;/dates&gt;&lt;isbn&gt;1467-9515&lt;/isbn&gt;&lt;urls&gt;&lt;related-urls&gt;&lt;url&gt;http://dx.doi.org/10.1111/spol.12049&lt;/url&gt;&lt;/related-urls&gt;&lt;/urls&gt;&lt;electronic-resource-num&gt;10.1111/spol.12049&lt;/electronic-resource-num&gt;&lt;/record&gt;&lt;/Cite&gt;&lt;/EndNote&gt;</w:instrText>
      </w:r>
      <w:r>
        <w:rPr>
          <w:rFonts w:cs="VAGRounded LT Light"/>
          <w:color w:val="000000"/>
          <w:szCs w:val="22"/>
        </w:rPr>
        <w:fldChar w:fldCharType="separate"/>
      </w:r>
      <w:r w:rsidR="00DD3237">
        <w:rPr>
          <w:rFonts w:cs="VAGRounded LT Light"/>
          <w:noProof/>
          <w:color w:val="000000"/>
          <w:szCs w:val="22"/>
        </w:rPr>
        <w:t>(Garthwaite, 2014:9)</w:t>
      </w:r>
      <w:r>
        <w:rPr>
          <w:rFonts w:cs="VAGRounded LT Light"/>
          <w:color w:val="000000"/>
          <w:szCs w:val="22"/>
        </w:rPr>
        <w:fldChar w:fldCharType="end"/>
      </w:r>
      <w:r>
        <w:rPr>
          <w:rFonts w:cs="VAGRounded LT Light"/>
          <w:color w:val="000000"/>
          <w:szCs w:val="22"/>
        </w:rPr>
        <w:t xml:space="preserve">.  Moreover, </w:t>
      </w:r>
      <w:r w:rsidRPr="0071552F">
        <w:rPr>
          <w:rFonts w:cs="VAGRounded LT Light"/>
          <w:i/>
          <w:color w:val="000000"/>
          <w:szCs w:val="22"/>
        </w:rPr>
        <w:t xml:space="preserve">‘it might be the factor of stigma which prevents potential claimants from absorbing the information which is presented to them about means-tested benefits’ </w:t>
      </w:r>
      <w:r>
        <w:rPr>
          <w:rFonts w:cs="VAGRounded LT Light"/>
          <w:color w:val="000000"/>
          <w:szCs w:val="22"/>
        </w:rPr>
        <w:fldChar w:fldCharType="begin"/>
      </w:r>
      <w:r>
        <w:rPr>
          <w:rFonts w:cs="VAGRounded LT Light"/>
          <w:color w:val="000000"/>
          <w:szCs w:val="22"/>
        </w:rPr>
        <w:instrText xml:space="preserve"> ADDIN EN.CITE &lt;EndNote&gt;&lt;Cite&gt;&lt;Author&gt;Golding&lt;/Author&gt;&lt;Year&gt;1982&lt;/Year&gt;&lt;RecNum&gt;266&lt;/RecNum&gt;&lt;Prefix&gt;Lister`, cited by &lt;/Prefix&gt;&lt;Suffix&gt;:161&lt;/Suffix&gt;&lt;DisplayText&gt;(Lister, cited by Golding and Middleton, 1982:161)&lt;/DisplayText&gt;&lt;record&gt;&lt;rec-number&gt;266&lt;/rec-number&gt;&lt;foreign-keys&gt;&lt;key app="EN" db-id="5xatt0094rr92mepzaexd2xzx29appesae0a" timestamp="0"&gt;266&lt;/key&gt;&lt;/foreign-keys&gt;&lt;ref-type name="Book"&gt;6&lt;/ref-type&gt;&lt;contributors&gt;&lt;authors&gt;&lt;author&gt;Peter Golding&lt;/author&gt;&lt;author&gt;Sue Middleton&lt;/author&gt;&lt;/authors&gt;&lt;/contributors&gt;&lt;titles&gt;&lt;title&gt;Images of welfare: press and public attitudes to welfare&lt;/title&gt;&lt;/titles&gt;&lt;dates&gt;&lt;year&gt;1982&lt;/year&gt;&lt;/dates&gt;&lt;pub-location&gt;Worcester&lt;/pub-location&gt;&lt;publisher&gt;Billing &amp;amp; Sons Limited&lt;/publisher&gt;&lt;urls&gt;&lt;/urls&gt;&lt;research-notes&gt;About the survey, they say (p157) - &amp;quot;These chapters are larely based on a social survey we conducted in two cities in 1977, after the violent upsurge in anti-welfare feelings of 1976, but in a period of icnome restraint, rising ifnlation and much effort to &amp;apos;stablise&amp;apos; public expenditure.*For reasons of space, methodological details have not been included in this book.  A summary is available from the authors.  650 people (a response rate of 72.2%) were interviewed in a stratified random probability sample in Leicester and Sunderland&amp;quot;&amp;#xD;- p159 - &amp;quot;We examine five areas of public perceptions: knowledge of welfare benefits; attitudes to benefits; attitudes to benefits&amp;apos; attitudes to the social effects of welfare; and opinions about claimants&amp;quot;&amp;#xD;&lt;/research-notes&gt;&lt;/record&gt;&lt;/Cite&gt;&lt;/EndNote&gt;</w:instrText>
      </w:r>
      <w:r>
        <w:rPr>
          <w:rFonts w:cs="VAGRounded LT Light"/>
          <w:color w:val="000000"/>
          <w:szCs w:val="22"/>
        </w:rPr>
        <w:fldChar w:fldCharType="separate"/>
      </w:r>
      <w:r>
        <w:rPr>
          <w:rFonts w:cs="VAGRounded LT Light"/>
          <w:noProof/>
          <w:color w:val="000000"/>
          <w:szCs w:val="22"/>
        </w:rPr>
        <w:t>(Lister, cited by Golding and Middleton, 1982:161)</w:t>
      </w:r>
      <w:r>
        <w:rPr>
          <w:rFonts w:cs="VAGRounded LT Light"/>
          <w:color w:val="000000"/>
          <w:szCs w:val="22"/>
        </w:rPr>
        <w:fldChar w:fldCharType="end"/>
      </w:r>
      <w:r>
        <w:rPr>
          <w:rFonts w:cs="VAGRounded LT Light"/>
          <w:color w:val="000000"/>
          <w:szCs w:val="22"/>
        </w:rPr>
        <w:t xml:space="preserve">.  Even if the </w:t>
      </w:r>
      <w:r>
        <w:rPr>
          <w:rFonts w:cs="VAGRounded LT Light"/>
          <w:color w:val="000000"/>
          <w:szCs w:val="22"/>
        </w:rPr>
        <w:lastRenderedPageBreak/>
        <w:t xml:space="preserve">role of stigma remains uncertain, </w:t>
      </w:r>
      <w:r>
        <w:rPr>
          <w:rFonts w:ascii="Calibri" w:hAnsi="Calibri"/>
          <w:color w:val="000000"/>
          <w:szCs w:val="22"/>
        </w:rPr>
        <w:t>i</w:t>
      </w:r>
      <w:r>
        <w:rPr>
          <w:rFonts w:cs="VAGRounded LT Light"/>
          <w:color w:val="000000"/>
          <w:szCs w:val="22"/>
        </w:rPr>
        <w:t xml:space="preserve">t is clear that means-tested systems generally have lower take-up </w:t>
      </w:r>
      <w:r>
        <w:rPr>
          <w:rFonts w:cs="VAGRounded LT Light"/>
          <w:color w:val="000000"/>
          <w:szCs w:val="22"/>
        </w:rPr>
        <w:fldChar w:fldCharType="begin"/>
      </w:r>
      <w:r>
        <w:rPr>
          <w:rFonts w:cs="VAGRounded LT Light"/>
          <w:color w:val="000000"/>
          <w:szCs w:val="22"/>
        </w:rPr>
        <w:instrText xml:space="preserve"> ADDIN EN.CITE &lt;EndNote&gt;&lt;Cite&gt;&lt;Author&gt;van Oorschot&lt;/Author&gt;&lt;Year&gt;2002&lt;/Year&gt;&lt;RecNum&gt;224&lt;/RecNum&gt;&lt;DisplayText&gt;(van Oorschot, 2002)&lt;/DisplayText&gt;&lt;record&gt;&lt;rec-number&gt;224&lt;/rec-number&gt;&lt;foreign-keys&gt;&lt;key app="EN" db-id="5xatt0094rr92mepzaexd2xzx29appesae0a" timestamp="0"&gt;224&lt;/key&gt;&lt;/foreign-keys&gt;&lt;ref-type name="Book Section"&gt;5&lt;/ref-type&gt;&lt;contributors&gt;&lt;authors&gt;&lt;author&gt;van Oorschot, Wim&lt;/author&gt;&lt;/authors&gt;&lt;secondary-authors&gt;&lt;author&gt;Peter Townsend&lt;/author&gt;&lt;author&gt;David Gordon&lt;/author&gt;&lt;/secondary-authors&gt;&lt;/contributors&gt;&lt;titles&gt;&lt;title&gt;Targeting welfare: on the functions and dysfunctions of means testing in social policy&lt;/title&gt;&lt;secondary-title&gt;World poverty: new policies to defeat an old enemy&lt;/secondary-title&gt;&lt;/titles&gt;&lt;dates&gt;&lt;year&gt;2002&lt;/year&gt;&lt;/dates&gt;&lt;pub-location&gt;Bristol&lt;/pub-location&gt;&lt;publisher&gt;Policy Press&lt;/publisher&gt;&lt;urls&gt;&lt;related-urls&gt;&lt;url&gt;http://arno.uvt.nl/show.cgi?fid=90379&lt;/url&gt;&lt;/related-urls&gt;&lt;/urls&gt;&lt;research-notes&gt;Book link http://books.google.co.uk/books/about/World_poverty.html?id=CbndKoZhMrwC&amp;amp;redir_esc=y&lt;/research-notes&gt;&lt;/record&gt;&lt;/Cite&gt;&lt;/EndNote&gt;</w:instrText>
      </w:r>
      <w:r>
        <w:rPr>
          <w:rFonts w:cs="VAGRounded LT Light"/>
          <w:color w:val="000000"/>
          <w:szCs w:val="22"/>
        </w:rPr>
        <w:fldChar w:fldCharType="separate"/>
      </w:r>
      <w:r>
        <w:rPr>
          <w:rFonts w:cs="VAGRounded LT Light"/>
          <w:noProof/>
          <w:color w:val="000000"/>
          <w:szCs w:val="22"/>
        </w:rPr>
        <w:t>(van Oorschot, 2002)</w:t>
      </w:r>
      <w:r>
        <w:rPr>
          <w:rFonts w:cs="VAGRounded LT Light"/>
          <w:color w:val="000000"/>
          <w:szCs w:val="22"/>
        </w:rPr>
        <w:fldChar w:fldCharType="end"/>
      </w:r>
      <w:r>
        <w:rPr>
          <w:rFonts w:cs="VAGRounded LT Light"/>
          <w:color w:val="000000"/>
          <w:szCs w:val="22"/>
        </w:rPr>
        <w:t xml:space="preserve">. In our survey below, we provide updated evidence on </w:t>
      </w:r>
      <w:r w:rsidR="00C2015A">
        <w:rPr>
          <w:rFonts w:cs="VAGRounded LT Light"/>
          <w:color w:val="000000"/>
          <w:szCs w:val="22"/>
        </w:rPr>
        <w:t xml:space="preserve">shame </w:t>
      </w:r>
      <w:r>
        <w:rPr>
          <w:rFonts w:cs="VAGRounded LT Light"/>
          <w:color w:val="000000"/>
          <w:szCs w:val="22"/>
        </w:rPr>
        <w:t>as a stated reason for non-take-up.</w:t>
      </w:r>
    </w:p>
    <w:p w14:paraId="4BFB19E7" w14:textId="47C5F7BD" w:rsidR="007721E9" w:rsidRDefault="007721E9" w:rsidP="006D3BA1">
      <w:pPr>
        <w:pStyle w:val="Heading3"/>
      </w:pPr>
      <w:r>
        <w:t>‘Dependency culture’</w:t>
      </w:r>
    </w:p>
    <w:p w14:paraId="6C8680D8" w14:textId="430939F7" w:rsidR="007721E9" w:rsidRDefault="007721E9" w:rsidP="006D3BA1">
      <w:r>
        <w:t xml:space="preserve">Our survey enables us to investigate one further issue: the ‘dependency culture’ hypothesis.  This does not just argue that claimants </w:t>
      </w:r>
      <w:r w:rsidRPr="006D3BA1">
        <w:rPr>
          <w:i/>
        </w:rPr>
        <w:t>themselves</w:t>
      </w:r>
      <w:r>
        <w:t xml:space="preserve"> </w:t>
      </w:r>
      <w:r w:rsidR="00C2015A">
        <w:t>do not stigmatise benefits</w:t>
      </w:r>
      <w:r>
        <w:t xml:space="preserve">, but that there are groups who </w:t>
      </w:r>
      <w:r w:rsidRPr="00221C06">
        <w:rPr>
          <w:i/>
        </w:rPr>
        <w:t>collectively</w:t>
      </w:r>
      <w:r>
        <w:t xml:space="preserve"> do not </w:t>
      </w:r>
      <w:r w:rsidR="00C2015A">
        <w:t>do so</w:t>
      </w:r>
      <w:r>
        <w:t xml:space="preserve">.  For example, </w:t>
      </w:r>
      <w:r w:rsidRPr="00AE6E05">
        <w:t xml:space="preserve">Charles Murray </w:t>
      </w:r>
      <w:r>
        <w:fldChar w:fldCharType="begin"/>
      </w:r>
      <w:r>
        <w:instrText xml:space="preserve"> ADDIN EN.CITE &lt;EndNote&gt;&lt;Cite ExcludeAuth="1"&gt;&lt;Author&gt;Murray&lt;/Author&gt;&lt;Year&gt;1990/1996&lt;/Year&gt;&lt;RecNum&gt;280&lt;/RecNum&gt;&lt;Suffix&gt;:26&lt;/Suffix&gt;&lt;DisplayText&gt;(1990/1996:26)&lt;/DisplayText&gt;&lt;record&gt;&lt;rec-number&gt;280&lt;/rec-number&gt;&lt;foreign-keys&gt;&lt;key app="EN" db-id="5xatt0094rr92mepzaexd2xzx29appesae0a" timestamp="0"&gt;280&lt;/key&gt;&lt;/foreign-keys&gt;&lt;ref-type name="Book Section"&gt;5&lt;/ref-type&gt;&lt;contributors&gt;&lt;authors&gt;&lt;author&gt;Charles Murray&lt;/author&gt;&lt;/authors&gt;&lt;secondary-authors&gt;&lt;author&gt;Lister,Ruth&lt;/author&gt;&lt;/secondary-authors&gt;&lt;/contributors&gt;&lt;titles&gt;&lt;title&gt;The Emerging British Underclass&lt;/title&gt;&lt;secondary-title&gt;Charles Murray and the Underclass: The Developing Debate&lt;/secondary-title&gt;&lt;/titles&gt;&lt;dates&gt;&lt;year&gt;1990/1996&lt;/year&gt;&lt;/dates&gt;&lt;pub-location&gt;London&lt;/pub-location&gt;&lt;publisher&gt;Institute of Economic Affairs Health and Welfare Unit&lt;/publisher&gt;&lt;urls&gt;&lt;related-urls&gt;&lt;url&gt;http://www.civitas.org.uk/pdf/cw33.pdf&lt;/url&gt;&lt;/related-urls&gt;&lt;/urls&gt;&lt;research-notes&gt;See also Underclass+10 http://www.sociology.org.uk/as4p6.pdf&lt;/research-notes&gt;&lt;/record&gt;&lt;/Cite&gt;&lt;/EndNote&gt;</w:instrText>
      </w:r>
      <w:r>
        <w:fldChar w:fldCharType="separate"/>
      </w:r>
      <w:r>
        <w:rPr>
          <w:noProof/>
        </w:rPr>
        <w:t>(1990/1996:26)</w:t>
      </w:r>
      <w:r>
        <w:fldChar w:fldCharType="end"/>
      </w:r>
      <w:r>
        <w:t xml:space="preserve"> </w:t>
      </w:r>
      <w:r w:rsidRPr="00AE6E05">
        <w:t xml:space="preserve">has argued that the values of the British underclass </w:t>
      </w:r>
      <w:r w:rsidRPr="0033000B">
        <w:rPr>
          <w:i/>
        </w:rPr>
        <w:t>‘are now contaminating the life of entire neighbourhoods—which is one of the most insidious aspects of the phenomenon, for neighbours who don’t share those values cannot isolate themselves’</w:t>
      </w:r>
      <w:r w:rsidRPr="00AE6E05">
        <w:t>.</w:t>
      </w:r>
      <w:r>
        <w:t xml:space="preserve">  These ideas continue to </w:t>
      </w:r>
      <w:r w:rsidR="00C2015A">
        <w:t xml:space="preserve">be found within </w:t>
      </w:r>
      <w:r>
        <w:t>public debate; the Channel 4 television programme ‘Benefits Street’ in 2014 generated a series of headlines about the social norms in a street ‘where 90% of the residents are on benefits’.</w:t>
      </w:r>
      <w:r>
        <w:rPr>
          <w:vertAlign w:val="superscript"/>
        </w:rPr>
        <w:t>5</w:t>
      </w:r>
      <w:r>
        <w:t xml:space="preserve">  More credibly, unemployment has been found to have weaker impacts on wellbeing in high-unemployment areas </w:t>
      </w:r>
      <w:r>
        <w:fldChar w:fldCharType="begin"/>
      </w:r>
      <w:r>
        <w:instrText xml:space="preserve"> ADDIN EN.CITE &lt;EndNote&gt;&lt;Cite&gt;&lt;Author&gt;Clark&lt;/Author&gt;&lt;Year&gt;2003&lt;/Year&gt;&lt;RecNum&gt;281&lt;/RecNum&gt;&lt;DisplayText&gt;(Clark, 2003)&lt;/DisplayText&gt;&lt;record&gt;&lt;rec-number&gt;281&lt;/rec-number&gt;&lt;foreign-keys&gt;&lt;key app="EN" db-id="5xatt0094rr92mepzaexd2xzx29appesae0a" timestamp="0"&gt;281&lt;/key&gt;&lt;/foreign-keys&gt;&lt;ref-type name="Journal Article"&gt;17&lt;/ref-type&gt;&lt;contributors&gt;&lt;authors&gt;&lt;author&gt;Clark, Andrew E&lt;/author&gt;&lt;/authors&gt;&lt;/contributors&gt;&lt;titles&gt;&lt;title&gt;Unemployment as a Social Norm: Psychological Evidence from Panel Data&lt;/title&gt;&lt;secondary-title&gt;Journal of Labor Economics&lt;/secondary-title&gt;&lt;/titles&gt;&lt;periodical&gt;&lt;full-title&gt;Journal of Labor Economics&lt;/full-title&gt;&lt;/periodical&gt;&lt;pages&gt;323-351&lt;/pages&gt;&lt;volume&gt;21&lt;/volume&gt;&lt;number&gt;2&lt;/number&gt;&lt;dates&gt;&lt;year&gt;2003&lt;/year&gt;&lt;/dates&gt;&lt;urls&gt;&lt;related-urls&gt;&lt;url&gt;http://www.jstor.org/stable/10.1086/345560&lt;/url&gt;&lt;/related-urls&gt;&lt;/urls&gt;&lt;/record&gt;&lt;/Cite&gt;&lt;/EndNote&gt;</w:instrText>
      </w:r>
      <w:r>
        <w:fldChar w:fldCharType="separate"/>
      </w:r>
      <w:r>
        <w:rPr>
          <w:noProof/>
        </w:rPr>
        <w:t>(Clark, 2003)</w:t>
      </w:r>
      <w:r>
        <w:fldChar w:fldCharType="end"/>
      </w:r>
      <w:r>
        <w:t>, and economic evidence convincingly shows</w:t>
      </w:r>
      <w:r w:rsidR="008C352A">
        <w:t xml:space="preserve"> that </w:t>
      </w:r>
      <w:r>
        <w:t xml:space="preserve">people </w:t>
      </w:r>
      <w:r w:rsidR="008C352A">
        <w:t xml:space="preserve">are more likely to claim benefits if the people </w:t>
      </w:r>
      <w:r>
        <w:t xml:space="preserve">around </w:t>
      </w:r>
      <w:r w:rsidR="008C352A">
        <w:t xml:space="preserve">them also </w:t>
      </w:r>
      <w:r>
        <w:t xml:space="preserve">claim </w:t>
      </w:r>
      <w:r>
        <w:fldChar w:fldCharType="begin">
          <w:fldData xml:space="preserve">PEVuZE5vdGU+PENpdGU+PEF1dGhvcj5CZXJ0cmFuZDwvQXV0aG9yPjxZZWFyPjIwMDA8L1llYXI+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=
</w:fldData>
        </w:fldChar>
      </w:r>
      <w:r>
        <w:instrText xml:space="preserve"> ADDIN EN.CITE </w:instrText>
      </w:r>
      <w:r>
        <w:fldChar w:fldCharType="begin">
          <w:fldData xml:space="preserve">PEVuZE5vdGU+PENpdGU+PEF1dGhvcj5CZXJ0cmFuZDwvQXV0aG9yPjxZZWFyPjIwMDA8L1llYXI+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=
</w:fldData>
        </w:fldChar>
      </w:r>
      <w:r>
        <w:instrText xml:space="preserve"> ADDIN EN.CITE.DATA </w:instrText>
      </w:r>
      <w:r>
        <w:fldChar w:fldCharType="end"/>
      </w:r>
      <w:r>
        <w:fldChar w:fldCharType="separate"/>
      </w:r>
      <w:r>
        <w:rPr>
          <w:noProof/>
        </w:rPr>
        <w:t>(Bertrand</w:t>
      </w:r>
      <w:r w:rsidRPr="00C75157">
        <w:rPr>
          <w:i/>
          <w:noProof/>
        </w:rPr>
        <w:t xml:space="preserve"> et al.</w:t>
      </w:r>
      <w:r>
        <w:rPr>
          <w:noProof/>
        </w:rPr>
        <w:t>, 2000; Rege</w:t>
      </w:r>
      <w:r w:rsidRPr="00C75157">
        <w:rPr>
          <w:i/>
          <w:noProof/>
        </w:rPr>
        <w:t xml:space="preserve"> et al.</w:t>
      </w:r>
      <w:r>
        <w:rPr>
          <w:noProof/>
        </w:rPr>
        <w:t>, 2012)</w:t>
      </w:r>
      <w:r>
        <w:fldChar w:fldCharType="end"/>
      </w:r>
      <w:r>
        <w:t>.</w:t>
      </w:r>
    </w:p>
    <w:p w14:paraId="7F09C604" w14:textId="77777777" w:rsidR="007721E9" w:rsidRDefault="007721E9" w:rsidP="006D3BA1"/>
    <w:p w14:paraId="769EB2EB" w14:textId="2297B5FC" w:rsidR="007721E9" w:rsidRPr="006D3BA1" w:rsidRDefault="007721E9" w:rsidP="00BA7B36">
      <w:r>
        <w:t>However, as the</w:t>
      </w:r>
      <w:r w:rsidR="008C352A">
        <w:t>se</w:t>
      </w:r>
      <w:r>
        <w:t xml:space="preserve"> researchers admit, these studies cannot disentangle stigma from information effects.  Moreover, both qualitative studies and surveys have consistently failed to find a reduced work ethic among groups who are more likely to claim benefits </w:t>
      </w:r>
      <w:r>
        <w:fldChar w:fldCharType="begin">
          <w:fldData xml:space="preserve">PEVuZE5vdGU+PENpdGU+PEF1dGhvcj5TaGlsZHJpY2s8L0F1dGhvcj48WWVhcj4yMDEzPC9ZZWFy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=
</w:fldData>
        </w:fldChar>
      </w:r>
      <w:r w:rsidR="00D975D6">
        <w:instrText xml:space="preserve"> ADDIN EN.CITE </w:instrText>
      </w:r>
      <w:r w:rsidR="00D975D6">
        <w:fldChar w:fldCharType="begin">
          <w:fldData xml:space="preserve">PEVuZE5vdGU+PENpdGU+PEF1dGhvcj5TaGlsZHJpY2s8L0F1dGhvcj48WWVhcj4yMDEzPC9ZZWFy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=
</w:fldData>
        </w:fldChar>
      </w:r>
      <w:r w:rsidR="00D975D6">
        <w:instrText xml:space="preserve"> ADDIN EN.CITE.DATA </w:instrText>
      </w:r>
      <w:r w:rsidR="00D975D6">
        <w:fldChar w:fldCharType="end"/>
      </w:r>
      <w:r>
        <w:fldChar w:fldCharType="separate"/>
      </w:r>
      <w:r>
        <w:rPr>
          <w:noProof/>
        </w:rPr>
        <w:t>(e.g. Shildrick and MacDonald, 2013; Dunn, 2011; Dean and Taylor-Gooby, 1992)</w:t>
      </w:r>
      <w:r>
        <w:fldChar w:fldCharType="end"/>
      </w:r>
      <w:r>
        <w:t xml:space="preserve">; indeed, lower-educated people are </w:t>
      </w:r>
      <w:r w:rsidRPr="003121B4">
        <w:rPr>
          <w:i/>
        </w:rPr>
        <w:t>more</w:t>
      </w:r>
      <w:r>
        <w:t xml:space="preserve"> likely than those better-educated to say that a ‘bad job’ is preferable to unemployment </w:t>
      </w:r>
      <w:r>
        <w:fldChar w:fldCharType="begin"/>
      </w:r>
      <w:r>
        <w:instrText xml:space="preserve"> ADDIN EN.CITE &lt;EndNote&gt;&lt;Cite&gt;&lt;Author&gt;Dunn&lt;/Author&gt;&lt;Year&gt;2011&lt;/Year&gt;&lt;RecNum&gt;519&lt;/RecNum&gt;&lt;DisplayText&gt;(Dunn, 2011)&lt;/DisplayText&gt;&lt;record&gt;&lt;rec-number&gt;519&lt;/rec-number&gt;&lt;foreign-keys&gt;&lt;key app="EN" db-id="5xatt0094rr92mepzaexd2xzx29appesae0a" timestamp="1407085149"&gt;519&lt;/key&gt;&lt;/foreign-keys&gt;&lt;ref-type name="Journal Article"&gt;17&lt;/ref-type&gt;&lt;contributors&gt;&lt;authors&gt;&lt;author&gt;Dunn, Andrew&lt;/author&gt;&lt;/authors&gt;&lt;/contributors&gt;&lt;titles&gt;&lt;title&gt;Only fools? Reconsidering the relationship between commitment to the work ethic and educational attainment&lt;/title&gt;&lt;secondary-title&gt;Journal of Education and Work&lt;/secondary-title&gt;&lt;/titles&gt;&lt;periodical&gt;&lt;full-title&gt;Journal of Education and Work&lt;/full-title&gt;&lt;/periodical&gt;&lt;pages&gt;1-20&lt;/pages&gt;&lt;volume&gt;26&lt;/volume&gt;&lt;number&gt;1&lt;/number&gt;&lt;dates&gt;&lt;year&gt;2011&lt;/year&gt;&lt;pub-dates&gt;&lt;date&gt;2013/02/01&lt;/date&gt;&lt;/pub-dates&gt;&lt;/dates&gt;&lt;publisher&gt;Routledge&lt;/publisher&gt;&lt;isbn&gt;1363-9080&lt;/isbn&gt;&lt;urls&gt;&lt;related-urls&gt;&lt;url&gt;http://dx.doi.org/10.1080/13639080.2011.588595&lt;/url&gt;&lt;/related-urls&gt;&lt;/urls&gt;&lt;electronic-resource-num&gt;10.1080/13639080.2011.588595&lt;/electronic-resource-num&gt;&lt;access-date&gt;2014/08/03&lt;/access-date&gt;&lt;/record&gt;&lt;/Cite&gt;&lt;/EndNote&gt;</w:instrText>
      </w:r>
      <w:r>
        <w:fldChar w:fldCharType="separate"/>
      </w:r>
      <w:r>
        <w:rPr>
          <w:noProof/>
        </w:rPr>
        <w:t>(Dunn, 2011)</w:t>
      </w:r>
      <w:r>
        <w:fldChar w:fldCharType="end"/>
      </w:r>
      <w:r>
        <w:t xml:space="preserve">.  Yet while these studies have made strong critiques of the dependency culture thesis, there is one claim that has not been directly tested: that people in high-claim areas have lower benefits stigma. The present study therefore offers a valuable opportunity to </w:t>
      </w:r>
      <w:r w:rsidR="008C352A">
        <w:t xml:space="preserve">contribute </w:t>
      </w:r>
      <w:r>
        <w:t xml:space="preserve">direct, nationally-representative evidence </w:t>
      </w:r>
      <w:r w:rsidR="008C352A">
        <w:t xml:space="preserve">to </w:t>
      </w:r>
      <w:r>
        <w:t>this debate.</w:t>
      </w:r>
    </w:p>
    <w:p w14:paraId="3EF4D42B" w14:textId="77777777" w:rsidR="007721E9" w:rsidRDefault="007721E9" w:rsidP="00901C82">
      <w:pPr>
        <w:sectPr w:rsidR="007721E9" w:rsidSect="00901C82">
          <w:type w:val="continuous"/>
          <w:pgSz w:w="11906" w:h="16838"/>
          <w:pgMar w:top="1440" w:right="1440" w:bottom="1440" w:left="1440" w:header="708" w:footer="708" w:gutter="0"/>
          <w:cols w:space="708"/>
          <w:docGrid w:linePitch="360"/>
        </w:sectPr>
      </w:pPr>
    </w:p>
    <w:p w14:paraId="517C56CD" w14:textId="77777777" w:rsidR="007721E9" w:rsidRDefault="007721E9" w:rsidP="00901C82">
      <w:pPr>
        <w:pStyle w:val="Heading1"/>
      </w:pPr>
      <w:r>
        <w:lastRenderedPageBreak/>
        <w:t>Methods</w:t>
      </w:r>
    </w:p>
    <w:p w14:paraId="5C20A6B4" w14:textId="4C128C75" w:rsidR="00F75BB2" w:rsidRDefault="00F75BB2" w:rsidP="00F75BB2">
      <w:r>
        <w:t xml:space="preserve">We commissioned a bank of questions within an </w:t>
      </w:r>
      <w:r w:rsidRPr="00590835">
        <w:t xml:space="preserve">IpsosMORI </w:t>
      </w:r>
      <w:r>
        <w:t xml:space="preserve">face-to-face omnibus survey in May 2012, using </w:t>
      </w:r>
      <w:r w:rsidRPr="00590835">
        <w:t xml:space="preserve">quota sampling: Primary Sampling Units </w:t>
      </w:r>
      <w:r>
        <w:t xml:space="preserve">were </w:t>
      </w:r>
      <w:r w:rsidRPr="00590835">
        <w:t>randomly selected within relatively homogeneous ACORN area types, and interviewers then ha</w:t>
      </w:r>
      <w:r>
        <w:t>d</w:t>
      </w:r>
      <w:r w:rsidRPr="00590835">
        <w:t xml:space="preserve"> to meet a quota by age, gender and working status within these streets.  The resulting sample is then weighted by age, social grade, region and working status (within gender) according to </w:t>
      </w:r>
      <w:r>
        <w:t xml:space="preserve">a </w:t>
      </w:r>
      <w:r w:rsidRPr="00590835">
        <w:t>random probability sample.</w:t>
      </w:r>
      <w:r>
        <w:t xml:space="preserve">  While not as desirable as full random sampling, it is nonetheless more likely to be nationally representative than nearly all previous surveys of benefits stigma, and also than the internet poll samples that are now becoming common in public attitude research.  Given that the attitudes of benefit claimants </w:t>
      </w:r>
      <w:r>
        <w:lastRenderedPageBreak/>
        <w:t xml:space="preserve">themselves were of particular interest, we added a ‘claimant boost’ from </w:t>
      </w:r>
      <w:r w:rsidRPr="00590835">
        <w:t xml:space="preserve">two further </w:t>
      </w:r>
      <w:r>
        <w:t>waves; the total sample was 2,601, of whom 1,123 have claimed benefits/tax credits in the past year (results are reweighted to maintain representativeness)</w:t>
      </w:r>
      <w:r w:rsidRPr="00590835">
        <w:t xml:space="preserve">.  </w:t>
      </w:r>
    </w:p>
    <w:p w14:paraId="6BA81D7B" w14:textId="77777777" w:rsidR="00F75BB2" w:rsidRDefault="00F75BB2" w:rsidP="005F3E2E"/>
    <w:p w14:paraId="355833B1" w14:textId="7EA33619" w:rsidR="007721E9" w:rsidRDefault="007721E9" w:rsidP="005F3E2E">
      <w:r>
        <w:t xml:space="preserve">In designing the questions for our new survey, we reviewed previous questions, but faced the problems that (i) almost none of these questions have been validated; (ii) nearly every study uses different questions; and (iii) none of the previous surveys differentiate between </w:t>
      </w:r>
      <w:r w:rsidR="00526629">
        <w:t xml:space="preserve">personal </w:t>
      </w:r>
      <w:r>
        <w:t xml:space="preserve">stigma and stigmatisation.  We therefore designed new questions, building on previous studies and with reference to the wider literature on measuring stigmas such as disability </w:t>
      </w:r>
      <w:r>
        <w:rPr>
          <w:rFonts w:ascii="Calibri" w:hAnsi="Calibri"/>
          <w:color w:val="000000"/>
        </w:rPr>
        <w:fldChar w:fldCharType="begin"/>
      </w:r>
      <w:r>
        <w:rPr>
          <w:rFonts w:ascii="Calibri" w:hAnsi="Calibri"/>
          <w:color w:val="000000"/>
        </w:rPr>
        <w:instrText xml:space="preserve"> ADDIN EN.CITE &lt;EndNote&gt;&lt;Cite&gt;&lt;Author&gt;Van Brakel&lt;/Author&gt;&lt;Year&gt;2006&lt;/Year&gt;&lt;RecNum&gt;267&lt;/RecNum&gt;&lt;DisplayText&gt;(Van Brakel 2006)&lt;/DisplayText&gt;&lt;record&gt;&lt;rec-number&gt;267&lt;/rec-number&gt;&lt;foreign-keys&gt;&lt;key app="EN" db-id="5xatt0094rr92mepzaexd2xzx29appesae0a" timestamp="0"&gt;267&lt;/key&gt;&lt;/foreign-keys&gt;&lt;ref-type name="Journal Article"&gt;17&lt;/ref-type&gt;&lt;contributors&gt;&lt;authors&gt;&lt;author&gt;Van Brakel ,Wim H. &lt;/author&gt;&lt;/authors&gt;&lt;/contributors&gt;&lt;titles&gt;&lt;title&gt;Measuring health-related stigma—A literature review&lt;/title&gt;&lt;secondary-title&gt;Psychology, Health &amp;amp; Medicine&lt;/secondary-title&gt;&lt;/titles&gt;&lt;periodical&gt;&lt;full-title&gt;Psychology, Health &amp;amp; Medicine&lt;/full-title&gt;&lt;/periodical&gt;&lt;pages&gt;307-334&lt;/pages&gt;&lt;volume&gt;11&lt;/volume&gt;&lt;number&gt;3&lt;/number&gt;&lt;dates&gt;&lt;year&gt;2006&lt;/year&gt;&lt;/dates&gt;&lt;urls&gt;&lt;related-urls&gt;&lt;url&gt;http://dx.doi.org/10.1080/13548500600595160&lt;/url&gt;&lt;/related-urls&gt;&lt;/urls&gt;&lt;/record&gt;&lt;/Cite&gt;&lt;/EndNote&gt;</w:instrText>
      </w:r>
      <w:r>
        <w:rPr>
          <w:rFonts w:ascii="Calibri" w:hAnsi="Calibri"/>
          <w:color w:val="000000"/>
        </w:rPr>
        <w:fldChar w:fldCharType="separate"/>
      </w:r>
      <w:r>
        <w:rPr>
          <w:rFonts w:ascii="Calibri" w:hAnsi="Calibri"/>
          <w:noProof/>
          <w:color w:val="000000"/>
        </w:rPr>
        <w:t>(Van Brakel 2006)</w:t>
      </w:r>
      <w:r>
        <w:rPr>
          <w:rFonts w:ascii="Calibri" w:hAnsi="Calibri"/>
          <w:color w:val="000000"/>
        </w:rPr>
        <w:fldChar w:fldCharType="end"/>
      </w:r>
      <w:r>
        <w:rPr>
          <w:rFonts w:ascii="Calibri" w:hAnsi="Calibri"/>
          <w:color w:val="000000"/>
        </w:rPr>
        <w:t xml:space="preserve"> and </w:t>
      </w:r>
      <w:r>
        <w:t xml:space="preserve">poverty </w:t>
      </w:r>
      <w:r>
        <w:fldChar w:fldCharType="begin"/>
      </w:r>
      <w:r>
        <w:instrText xml:space="preserve"> ADDIN EN.CITE &lt;EndNote&gt;&lt;Cite&gt;&lt;Author&gt;Reyles&lt;/Author&gt;&lt;Year&gt;2007&lt;/Year&gt;&lt;RecNum&gt;211&lt;/RecNum&gt;&lt;DisplayText&gt;(Reyles, 2007)&lt;/DisplayText&gt;&lt;record&gt;&lt;rec-number&gt;211&lt;/rec-number&gt;&lt;foreign-keys&gt;&lt;key app="EN" db-id="5xatt0094rr92mepzaexd2xzx29appesae0a" timestamp="0"&gt;211&lt;/key&gt;&lt;/foreign-keys&gt;&lt;ref-type name="Journal Article"&gt;17&lt;/ref-type&gt;&lt;contributors&gt;&lt;authors&gt;&lt;author&gt;Reyles,Diego Zavaleta&lt;/author&gt;&lt;/authors&gt;&lt;/contributors&gt;&lt;titles&gt;&lt;title&gt;The Ability to go about Without Shame: A Proposal for Internationally Comparable Indicators of Shame and Humiliation&lt;/title&gt;&lt;secondary-title&gt;Oxford Development Studies&lt;/secondary-title&gt;&lt;/titles&gt;&lt;periodical&gt;&lt;full-title&gt;Oxford Development Studies&lt;/full-title&gt;&lt;/periodical&gt;&lt;pages&gt;405-430&lt;/pages&gt;&lt;volume&gt;35&lt;/volume&gt;&lt;number&gt;4&lt;/number&gt;&lt;dates&gt;&lt;year&gt;2007&lt;/year&gt;&lt;/dates&gt;&lt;urls&gt;&lt;related-urls&gt;&lt;url&gt;http://www.ophi.org.uk/wp-content/uploads/OPHI_wp03.pdf?cda6c1&lt;/url&gt;&lt;/related-urls&gt;&lt;/urls&gt;&lt;electronic-resource-num&gt;10.1080/13600810701701905&lt;/electronic-resource-num&gt;&lt;/record&gt;&lt;/Cite&gt;&lt;/EndNote&gt;</w:instrText>
      </w:r>
      <w:r>
        <w:fldChar w:fldCharType="separate"/>
      </w:r>
      <w:r>
        <w:rPr>
          <w:noProof/>
        </w:rPr>
        <w:t>(Reyles, 2007)</w:t>
      </w:r>
      <w:r>
        <w:fldChar w:fldCharType="end"/>
      </w:r>
      <w:r>
        <w:t>.  Questions were both reviewed by our advisory group and underwent a small (n=4) cognitive testing.</w:t>
      </w:r>
    </w:p>
    <w:p w14:paraId="7A8D6DA4" w14:textId="77777777" w:rsidR="007721E9" w:rsidRDefault="007721E9" w:rsidP="005F3E2E"/>
    <w:p w14:paraId="5C3A596B" w14:textId="226DF7FF" w:rsidR="007721E9" w:rsidRDefault="007721E9" w:rsidP="005F3E2E">
      <w:r>
        <w:t xml:space="preserve">Our first set of questions focused on stigma itself.  This began by investigating </w:t>
      </w:r>
      <w:r w:rsidR="00526629">
        <w:t xml:space="preserve">personal </w:t>
      </w:r>
      <w:r>
        <w:t xml:space="preserve">stigma, asking </w:t>
      </w:r>
      <w:r w:rsidRPr="005F3E2E">
        <w:rPr>
          <w:i/>
        </w:rPr>
        <w:t>‘How much do YOU YOURSELF agree or disagree, that people should feel ashamed to claim…’</w:t>
      </w:r>
      <w:r>
        <w:t>, and then presenting the following five types of benefits in a random order:</w:t>
      </w:r>
    </w:p>
    <w:p w14:paraId="68F603E9" w14:textId="5B7BC8CE" w:rsidR="007721E9" w:rsidRPr="005F3E2E" w:rsidRDefault="007721E9" w:rsidP="005F3E2E">
      <w:pPr>
        <w:pStyle w:val="ListParagraph"/>
        <w:numPr>
          <w:ilvl w:val="0"/>
          <w:numId w:val="7"/>
        </w:numPr>
        <w:spacing w:after="0"/>
        <w:rPr>
          <w:i/>
        </w:rPr>
      </w:pPr>
      <w:r>
        <w:rPr>
          <w:i/>
        </w:rPr>
        <w:t>“</w:t>
      </w:r>
      <w:r w:rsidRPr="005F3E2E">
        <w:rPr>
          <w:i/>
        </w:rPr>
        <w:t>...in-work Tax Credits?  (These are wage top-ups for the low paid)</w:t>
      </w:r>
    </w:p>
    <w:p w14:paraId="4100FF13" w14:textId="77777777" w:rsidR="007721E9" w:rsidRPr="005F3E2E" w:rsidRDefault="007721E9" w:rsidP="005F3E2E">
      <w:pPr>
        <w:pStyle w:val="ListParagraph"/>
        <w:numPr>
          <w:ilvl w:val="0"/>
          <w:numId w:val="7"/>
        </w:numPr>
        <w:spacing w:after="0"/>
        <w:rPr>
          <w:i/>
        </w:rPr>
      </w:pPr>
      <w:r w:rsidRPr="005F3E2E">
        <w:rPr>
          <w:i/>
        </w:rPr>
        <w:t>...Jobseekers Allowance?  (This is for unemployed people)</w:t>
      </w:r>
    </w:p>
    <w:p w14:paraId="5E46584A" w14:textId="77777777" w:rsidR="007721E9" w:rsidRPr="005F3E2E" w:rsidRDefault="007721E9" w:rsidP="005F3E2E">
      <w:pPr>
        <w:pStyle w:val="ListParagraph"/>
        <w:numPr>
          <w:ilvl w:val="0"/>
          <w:numId w:val="7"/>
        </w:numPr>
        <w:spacing w:after="0"/>
        <w:rPr>
          <w:i/>
        </w:rPr>
      </w:pPr>
      <w:r w:rsidRPr="005F3E2E">
        <w:rPr>
          <w:i/>
        </w:rPr>
        <w:t>...Employment and Support Allowance (This is for people whose sickness or disability limits their ability to work)</w:t>
      </w:r>
    </w:p>
    <w:p w14:paraId="4BB5E74C" w14:textId="77777777" w:rsidR="007721E9" w:rsidRPr="005F3E2E" w:rsidRDefault="007721E9" w:rsidP="005F3E2E">
      <w:pPr>
        <w:pStyle w:val="ListParagraph"/>
        <w:numPr>
          <w:ilvl w:val="0"/>
          <w:numId w:val="7"/>
        </w:numPr>
        <w:spacing w:after="0"/>
        <w:rPr>
          <w:i/>
        </w:rPr>
      </w:pPr>
      <w:r w:rsidRPr="005F3E2E">
        <w:rPr>
          <w:i/>
        </w:rPr>
        <w:t>...Income Support for single parents?</w:t>
      </w:r>
    </w:p>
    <w:p w14:paraId="77C1A091" w14:textId="7DE5C04D" w:rsidR="007721E9" w:rsidRPr="005F3E2E" w:rsidRDefault="007721E9" w:rsidP="005F3E2E">
      <w:pPr>
        <w:pStyle w:val="ListParagraph"/>
        <w:numPr>
          <w:ilvl w:val="0"/>
          <w:numId w:val="7"/>
        </w:numPr>
        <w:spacing w:after="0"/>
        <w:rPr>
          <w:i/>
        </w:rPr>
      </w:pPr>
      <w:r w:rsidRPr="005F3E2E">
        <w:rPr>
          <w:i/>
        </w:rPr>
        <w:t>...Housing Benefit?  (This is help with rent for people on a low income)</w:t>
      </w:r>
      <w:r>
        <w:rPr>
          <w:i/>
        </w:rPr>
        <w:t>”</w:t>
      </w:r>
    </w:p>
    <w:p w14:paraId="310CDF90" w14:textId="77777777" w:rsidR="007721E9" w:rsidRDefault="007721E9" w:rsidP="005F3E2E"/>
    <w:p w14:paraId="061263E6" w14:textId="2F48CC36" w:rsidR="007721E9" w:rsidRDefault="007721E9" w:rsidP="00ED3493">
      <w:r>
        <w:t xml:space="preserve">We decided to </w:t>
      </w:r>
      <w:r w:rsidR="00526629">
        <w:t xml:space="preserve">ask about being </w:t>
      </w:r>
      <w:r>
        <w:t>‘</w:t>
      </w:r>
      <w:r w:rsidR="00526629">
        <w:t>a</w:t>
      </w:r>
      <w:r>
        <w:t>shame</w:t>
      </w:r>
      <w:r w:rsidR="00526629">
        <w:t>d</w:t>
      </w:r>
      <w:r>
        <w:t>’ rather than ‘embarrass</w:t>
      </w:r>
      <w:r w:rsidR="00526629">
        <w:t>ed</w:t>
      </w:r>
      <w:r>
        <w:t xml:space="preserve">’ given recent academic </w:t>
      </w:r>
      <w:r w:rsidR="008C352A">
        <w:t xml:space="preserve">debates around </w:t>
      </w:r>
      <w:r>
        <w:t>shame</w:t>
      </w:r>
      <w:r w:rsidR="00526629">
        <w:t xml:space="preserve"> – note however that these are not questions about shame itself (whether respondents </w:t>
      </w:r>
      <w:r w:rsidR="00526629" w:rsidRPr="0019023E">
        <w:rPr>
          <w:i/>
        </w:rPr>
        <w:t>felt</w:t>
      </w:r>
      <w:r w:rsidR="00526629">
        <w:t xml:space="preserve"> ashamed), but are questions about stigma (whether people </w:t>
      </w:r>
      <w:r w:rsidR="00526629" w:rsidRPr="0019023E">
        <w:rPr>
          <w:i/>
        </w:rPr>
        <w:t>should</w:t>
      </w:r>
      <w:r w:rsidR="00526629">
        <w:t xml:space="preserve"> feel ashamed, as an indicator of a devalued social status)</w:t>
      </w:r>
      <w:r>
        <w:t xml:space="preserve">.  Respondents were asked to express agreement on a 0-10 scale, where 0 was labelled ‘strongly disagree’, 5 was labelled ‘neither agree nor disagree’, and 10 was labelled ‘strongly agree’.  For analysis, we recoded 0-4 into ‘disagree’ and 6-10 into ‘agree’.   </w:t>
      </w:r>
    </w:p>
    <w:p w14:paraId="2FA663C1" w14:textId="77777777" w:rsidR="007721E9" w:rsidRDefault="007721E9" w:rsidP="00ED3493"/>
    <w:p w14:paraId="292554A7" w14:textId="3014CF35" w:rsidR="007721E9" w:rsidRPr="00ED3493" w:rsidRDefault="007721E9" w:rsidP="00ED3493">
      <w:r>
        <w:t xml:space="preserve">We then looked at stigmatisation, asking </w:t>
      </w:r>
      <w:r>
        <w:rPr>
          <w:i/>
        </w:rPr>
        <w:t>‘</w:t>
      </w:r>
      <w:r w:rsidRPr="005F3E2E">
        <w:rPr>
          <w:i/>
        </w:rPr>
        <w:t>How much do you think PEOPLE IN GENERAL in Britain would agree or disagree, that people should feel ashamed to clai</w:t>
      </w:r>
      <w:r>
        <w:rPr>
          <w:i/>
        </w:rPr>
        <w:t>m [benefit]’</w:t>
      </w:r>
      <w:r>
        <w:t xml:space="preserve">, using the same list of benefits and response categories.  Thirdly, to capture claims stigma, we invited people to agree/disagree (again on a 0-10 scale) with the statement </w:t>
      </w:r>
      <w:r>
        <w:rPr>
          <w:i/>
        </w:rPr>
        <w:t>‘</w:t>
      </w:r>
      <w:r w:rsidRPr="00ED3493">
        <w:rPr>
          <w:i/>
        </w:rPr>
        <w:t>People are generally treated with r</w:t>
      </w:r>
      <w:r>
        <w:rPr>
          <w:i/>
        </w:rPr>
        <w:t>espect when they claim benefits’.</w:t>
      </w:r>
      <w:r>
        <w:t xml:space="preserve">  This question was deliberately worded in the reverse direction</w:t>
      </w:r>
      <w:r w:rsidR="00583993">
        <w:t xml:space="preserve"> for balance</w:t>
      </w:r>
      <w:r>
        <w:t>, a decision we return to in the Conclusion.</w:t>
      </w:r>
    </w:p>
    <w:p w14:paraId="461DB451" w14:textId="77777777" w:rsidR="007721E9" w:rsidRDefault="007721E9" w:rsidP="005F3E2E"/>
    <w:p w14:paraId="1FE72367" w14:textId="1E5B692A" w:rsidR="007721E9" w:rsidRDefault="007721E9" w:rsidP="005F3E2E">
      <w:r>
        <w:lastRenderedPageBreak/>
        <w:t>Our second set of questions looked at the link between stigma and take-up</w:t>
      </w:r>
      <w:r w:rsidR="00526629">
        <w:t xml:space="preserve">, and </w:t>
      </w:r>
      <w:r w:rsidR="00583993">
        <w:t xml:space="preserve">the role of </w:t>
      </w:r>
      <w:r w:rsidR="00526629">
        <w:t>shame (people’s own feelings)</w:t>
      </w:r>
      <w:r w:rsidR="00583993">
        <w:t xml:space="preserve"> within this</w:t>
      </w:r>
      <w:r>
        <w:t xml:space="preserve">.  Non-claimants were asked, </w:t>
      </w:r>
      <w:r>
        <w:rPr>
          <w:i/>
        </w:rPr>
        <w:t>‘</w:t>
      </w:r>
      <w:r w:rsidRPr="00176166">
        <w:rPr>
          <w:i/>
        </w:rPr>
        <w:t xml:space="preserve">Which of the following, if any, would make YOU YOURSELF less likely to claim </w:t>
      </w:r>
      <w:r>
        <w:rPr>
          <w:i/>
        </w:rPr>
        <w:t>[tax credits/</w:t>
      </w:r>
      <w:r w:rsidRPr="00176166">
        <w:rPr>
          <w:i/>
        </w:rPr>
        <w:t>benefits</w:t>
      </w:r>
      <w:r>
        <w:rPr>
          <w:i/>
        </w:rPr>
        <w:t>]</w:t>
      </w:r>
      <w:r w:rsidRPr="00176166">
        <w:rPr>
          <w:i/>
        </w:rPr>
        <w:t xml:space="preserve">, </w:t>
      </w:r>
      <w:r w:rsidRPr="00176166">
        <w:rPr>
          <w:i/>
          <w:u w:val="single"/>
        </w:rPr>
        <w:t>if you thought you needed and might be entitled to them?</w:t>
      </w:r>
      <w:r>
        <w:rPr>
          <w:i/>
        </w:rPr>
        <w:t xml:space="preserve">’ </w:t>
      </w:r>
      <w:r>
        <w:t xml:space="preserve">[emphasis in questionnaire].  Past-year claimants were instead asked, </w:t>
      </w:r>
      <w:r>
        <w:rPr>
          <w:i/>
        </w:rPr>
        <w:t>‘</w:t>
      </w:r>
      <w:r w:rsidRPr="0053378A">
        <w:rPr>
          <w:i/>
        </w:rPr>
        <w:t xml:space="preserve">Which of the following, if any, have made YOU YOURSELF delay or not claim benefits in the past, </w:t>
      </w:r>
      <w:r w:rsidRPr="0053378A">
        <w:rPr>
          <w:i/>
          <w:u w:val="single"/>
        </w:rPr>
        <w:t>from the point you needed and thought you might be entitled to them?</w:t>
      </w:r>
      <w:r>
        <w:rPr>
          <w:i/>
        </w:rPr>
        <w:t>’</w:t>
      </w:r>
      <w:r>
        <w:t xml:space="preserve">  </w:t>
      </w:r>
      <w:r w:rsidRPr="0013681B">
        <w:t xml:space="preserve">(There is evidence that non-take-up is often about delays in claiming </w:t>
      </w:r>
      <w:r>
        <w:fldChar w:fldCharType="begin"/>
      </w:r>
      <w:r>
        <w:instrText xml:space="preserve"> ADDIN EN.CITE &lt;EndNote&gt;&lt;Cite&gt;&lt;Author&gt;Craig&lt;/Author&gt;&lt;Year&gt;1991&lt;/Year&gt;&lt;RecNum&gt;219&lt;/RecNum&gt;&lt;Suffix&gt;:543-4&lt;/Suffix&gt;&lt;DisplayText&gt;(Craig, 1991:543-4)&lt;/DisplayText&gt;&lt;record&gt;&lt;rec-number&gt;219&lt;/rec-number&gt;&lt;foreign-keys&gt;&lt;key app="EN" db-id="5xatt0094rr92mepzaexd2xzx29appesae0a" timestamp="0"&gt;219&lt;/key&gt;&lt;/foreign-keys&gt;&lt;ref-type name="Journal Article"&gt;17&lt;/ref-type&gt;&lt;contributors&gt;&lt;authors&gt;&lt;author&gt;Craig, Peter&lt;/author&gt;&lt;/authors&gt;&lt;/contributors&gt;&lt;titles&gt;&lt;title&gt;Costs and benefits: a review of research on take-up of income-related benefits&lt;/title&gt;&lt;secondary-title&gt;Journal of Social Policy&lt;/secondary-title&gt;&lt;/titles&gt;&lt;periodical&gt;&lt;full-title&gt;Journal of Social Policy&lt;/full-title&gt;&lt;/periodical&gt;&lt;pages&gt;537-565&lt;/pages&gt;&lt;volume&gt;20&lt;/volume&gt;&lt;number&gt;4&lt;/number&gt;&lt;dates&gt;&lt;year&gt;1991&lt;/year&gt;&lt;/dates&gt;&lt;urls&gt;&lt;/urls&gt;&lt;/record&gt;&lt;/Cite&gt;&lt;/EndNote&gt;</w:instrText>
      </w:r>
      <w:r>
        <w:fldChar w:fldCharType="separate"/>
      </w:r>
      <w:r>
        <w:rPr>
          <w:noProof/>
        </w:rPr>
        <w:t>(Craig, 1991:543-4)</w:t>
      </w:r>
      <w:r>
        <w:fldChar w:fldCharType="end"/>
      </w:r>
      <w:r w:rsidRPr="0013681B">
        <w:t>)</w:t>
      </w:r>
      <w:r>
        <w:t xml:space="preserve">.  Note that respondents </w:t>
      </w:r>
      <w:r w:rsidR="008C352A">
        <w:t xml:space="preserve">were instructed to </w:t>
      </w:r>
      <w:r>
        <w:t>ignore issues about perceived need/eligibility</w:t>
      </w:r>
      <w:r w:rsidR="008C352A">
        <w:t>,</w:t>
      </w:r>
      <w:r>
        <w:t xml:space="preserve"> given the debate about whether this is stigma-related.  Each respondent was asked two versions of this question, firstly about in-work tax credits and then about out-of-work benefits.</w:t>
      </w:r>
    </w:p>
    <w:p w14:paraId="439CD28B" w14:textId="77777777" w:rsidR="007721E9" w:rsidRDefault="007721E9" w:rsidP="005F3E2E"/>
    <w:p w14:paraId="7FF61CB0" w14:textId="75E97131" w:rsidR="007721E9" w:rsidRDefault="007721E9" w:rsidP="005F3E2E">
      <w:r>
        <w:t>For both versions, respondents were given the following options, which we group into four categories:</w:t>
      </w:r>
    </w:p>
    <w:p w14:paraId="25605B64" w14:textId="33DE2D53" w:rsidR="007721E9" w:rsidRPr="0053378A" w:rsidRDefault="007721E9" w:rsidP="0053378A">
      <w:pPr>
        <w:pStyle w:val="ListParagraph"/>
        <w:numPr>
          <w:ilvl w:val="0"/>
          <w:numId w:val="8"/>
        </w:numPr>
      </w:pPr>
      <w:r w:rsidRPr="0053378A">
        <w:rPr>
          <w:rFonts w:cs="VAGRounded LT Light"/>
          <w:bCs/>
          <w:color w:val="000000"/>
        </w:rPr>
        <w:t xml:space="preserve">Category: </w:t>
      </w:r>
      <w:r w:rsidR="002F6954">
        <w:rPr>
          <w:rFonts w:cs="VAGRounded LT Light"/>
          <w:bCs/>
          <w:color w:val="000000"/>
        </w:rPr>
        <w:t>Personal shame</w:t>
      </w:r>
      <w:r w:rsidRPr="0053378A">
        <w:rPr>
          <w:rFonts w:cs="VAGRounded LT Light"/>
          <w:bCs/>
          <w:color w:val="000000"/>
        </w:rPr>
        <w:t xml:space="preserve">: </w:t>
      </w:r>
      <w:r w:rsidRPr="0053378A">
        <w:rPr>
          <w:rFonts w:cs="VAGRounded LT Light"/>
          <w:i/>
          <w:color w:val="000000"/>
        </w:rPr>
        <w:t>• How you would feel about yourself for claiming (e.g. ‘pride’, dislike of ‘charity’) • Thinking [benefits/tax credits] are for other people, not people like me</w:t>
      </w:r>
      <w:r w:rsidRPr="0053378A">
        <w:rPr>
          <w:rFonts w:cs="VAGRounded LT Light"/>
          <w:color w:val="000000"/>
        </w:rPr>
        <w:t xml:space="preserve"> </w:t>
      </w:r>
    </w:p>
    <w:p w14:paraId="72DF416D" w14:textId="4F8AE84D" w:rsidR="007721E9" w:rsidRPr="0053378A" w:rsidRDefault="007721E9" w:rsidP="0053378A">
      <w:pPr>
        <w:pStyle w:val="ListParagraph"/>
        <w:numPr>
          <w:ilvl w:val="0"/>
          <w:numId w:val="8"/>
        </w:numPr>
      </w:pPr>
      <w:r w:rsidRPr="0053378A">
        <w:rPr>
          <w:rFonts w:cs="VAGRounded LT Light"/>
          <w:bCs/>
          <w:color w:val="000000"/>
        </w:rPr>
        <w:t xml:space="preserve">Category: </w:t>
      </w:r>
      <w:r w:rsidR="002F6954">
        <w:rPr>
          <w:rFonts w:cs="VAGRounded LT Light"/>
          <w:bCs/>
          <w:color w:val="000000"/>
        </w:rPr>
        <w:t>Social shaming</w:t>
      </w:r>
      <w:r w:rsidRPr="0053378A">
        <w:rPr>
          <w:rFonts w:cs="VAGRounded LT Light"/>
          <w:bCs/>
          <w:color w:val="000000"/>
        </w:rPr>
        <w:t xml:space="preserve">: </w:t>
      </w:r>
      <w:r w:rsidRPr="0053378A">
        <w:rPr>
          <w:rFonts w:cs="VAGRounded LT Light"/>
          <w:i/>
          <w:color w:val="000000"/>
        </w:rPr>
        <w:t>• How family, friends or neighbours would react</w:t>
      </w:r>
      <w:r w:rsidRPr="0053378A">
        <w:rPr>
          <w:rFonts w:cs="VAGRounded LT Light"/>
          <w:color w:val="000000"/>
        </w:rPr>
        <w:t xml:space="preserve"> </w:t>
      </w:r>
    </w:p>
    <w:p w14:paraId="11E61171" w14:textId="1EFEAE49" w:rsidR="007721E9" w:rsidRPr="0053378A" w:rsidRDefault="007721E9" w:rsidP="0053378A">
      <w:pPr>
        <w:pStyle w:val="ListParagraph"/>
        <w:numPr>
          <w:ilvl w:val="0"/>
          <w:numId w:val="8"/>
        </w:numPr>
      </w:pPr>
      <w:r w:rsidRPr="0053378A">
        <w:rPr>
          <w:rFonts w:cs="VAGRounded LT Light"/>
          <w:bCs/>
          <w:color w:val="000000"/>
        </w:rPr>
        <w:t xml:space="preserve">Category: Claims </w:t>
      </w:r>
      <w:r w:rsidR="002F6954">
        <w:rPr>
          <w:rFonts w:cs="VAGRounded LT Light"/>
          <w:bCs/>
          <w:color w:val="000000"/>
        </w:rPr>
        <w:t>shaming</w:t>
      </w:r>
      <w:r w:rsidRPr="0053378A">
        <w:rPr>
          <w:rFonts w:cs="VAGRounded LT Light"/>
          <w:bCs/>
          <w:color w:val="000000"/>
        </w:rPr>
        <w:t xml:space="preserve">: </w:t>
      </w:r>
      <w:r w:rsidRPr="0053378A">
        <w:rPr>
          <w:rFonts w:cs="VAGRounded LT Light"/>
          <w:i/>
          <w:color w:val="000000"/>
        </w:rPr>
        <w:t xml:space="preserve">• Having to provide personal information (about income or having a partner) • How I would be treated by officials while applying </w:t>
      </w:r>
    </w:p>
    <w:p w14:paraId="1FB78FBD" w14:textId="2B70F7F8" w:rsidR="007721E9" w:rsidRPr="0053378A" w:rsidRDefault="007721E9" w:rsidP="0053378A">
      <w:pPr>
        <w:pStyle w:val="ListParagraph"/>
        <w:numPr>
          <w:ilvl w:val="0"/>
          <w:numId w:val="8"/>
        </w:numPr>
      </w:pPr>
      <w:r w:rsidRPr="0053378A">
        <w:rPr>
          <w:rFonts w:cs="VAGRounded LT Light"/>
          <w:bCs/>
          <w:color w:val="000000"/>
        </w:rPr>
        <w:t>Category: Non-</w:t>
      </w:r>
      <w:r w:rsidR="002F6954">
        <w:rPr>
          <w:rFonts w:cs="VAGRounded LT Light"/>
          <w:bCs/>
          <w:color w:val="000000"/>
        </w:rPr>
        <w:t>shame</w:t>
      </w:r>
      <w:r w:rsidR="002F6954" w:rsidRPr="0053378A">
        <w:rPr>
          <w:rFonts w:cs="VAGRounded LT Light"/>
          <w:bCs/>
          <w:color w:val="000000"/>
        </w:rPr>
        <w:t xml:space="preserve"> </w:t>
      </w:r>
      <w:r w:rsidRPr="0053378A">
        <w:rPr>
          <w:rFonts w:cs="VAGRounded LT Light"/>
          <w:bCs/>
          <w:color w:val="000000"/>
        </w:rPr>
        <w:t>reasons:</w:t>
      </w:r>
      <w:r w:rsidRPr="0053378A">
        <w:rPr>
          <w:rFonts w:cs="VAGRounded LT Light"/>
          <w:bCs/>
          <w:i/>
          <w:color w:val="000000"/>
        </w:rPr>
        <w:t xml:space="preserve"> </w:t>
      </w:r>
      <w:r w:rsidRPr="0053378A">
        <w:rPr>
          <w:rFonts w:cs="VAGRounded LT Light"/>
          <w:i/>
          <w:color w:val="000000"/>
        </w:rPr>
        <w:t>• Too hard to figure out if I’m entitled • Too much hassle to apply for them • Another reason – please specify</w:t>
      </w:r>
    </w:p>
    <w:p w14:paraId="37687531" w14:textId="1E6AC652" w:rsidR="007721E9" w:rsidRDefault="007721E9" w:rsidP="005F3E2E">
      <w:r>
        <w:t xml:space="preserve">The survey further asked about a number of socio-demographics </w:t>
      </w:r>
      <w:r w:rsidR="008C352A">
        <w:t xml:space="preserve">factors </w:t>
      </w:r>
      <w:r>
        <w:t>that are used as controls below: gender, age group</w:t>
      </w:r>
      <w:r w:rsidR="00047548">
        <w:t xml:space="preserve"> (16-24/25-34/35-44/45-54/55-59/60-to-pension age/older)</w:t>
      </w:r>
      <w:r>
        <w:t xml:space="preserve">, </w:t>
      </w:r>
      <w:r w:rsidR="00047548">
        <w:t xml:space="preserve">presence of </w:t>
      </w:r>
      <w:r>
        <w:t>children, marital status</w:t>
      </w:r>
      <w:r w:rsidR="00047548">
        <w:t xml:space="preserve"> (grouped into married/civil partnership/living together, single, widowed/divorced/separated)</w:t>
      </w:r>
      <w:r>
        <w:t>, employment status</w:t>
      </w:r>
      <w:r w:rsidR="00047548">
        <w:t xml:space="preserve"> (full-time/part-time/not working)</w:t>
      </w:r>
      <w:r>
        <w:t>, tenure</w:t>
      </w:r>
      <w:r w:rsidR="00047548">
        <w:t xml:space="preserve"> (owner-occupier/social housing/other)</w:t>
      </w:r>
      <w:r>
        <w:t>, qualifications</w:t>
      </w:r>
      <w:r w:rsidR="00047548">
        <w:t xml:space="preserve"> (degree/A-level/less than A-level/none)</w:t>
      </w:r>
      <w:r>
        <w:t xml:space="preserve"> and own benefits claims</w:t>
      </w:r>
      <w:r w:rsidR="00047548">
        <w:t xml:space="preserve"> (out-of-work benefits/in-work tax credits/other benefits)</w:t>
      </w:r>
      <w:r>
        <w:t xml:space="preserve">.  Unlike previous stigma studies, we also merged-in contextual data linked to people’s home postcode.  At the neighbourhood level (Lower Super-Output Areas), this included </w:t>
      </w:r>
      <w:r w:rsidRPr="00471BD7">
        <w:t>out-of-work benefit claims</w:t>
      </w:r>
      <w:r w:rsidR="00522E47">
        <w:t xml:space="preserve"> (as a share of the 16-64 population)</w:t>
      </w:r>
      <w:r w:rsidRPr="00471BD7">
        <w:t xml:space="preserve">; at the local authority level, this included unemployment </w:t>
      </w:r>
      <w:r w:rsidR="00522E47">
        <w:t xml:space="preserve">(as a share of the working-age population) </w:t>
      </w:r>
      <w:r w:rsidRPr="00471BD7">
        <w:t xml:space="preserve">and migration </w:t>
      </w:r>
      <w:r w:rsidR="00047548">
        <w:t>rates</w:t>
      </w:r>
      <w:r w:rsidR="00522E47">
        <w:t xml:space="preserve"> (the proportion of people born in non-western countries)</w:t>
      </w:r>
      <w:r w:rsidRPr="00471BD7">
        <w:t>.  Further details on the derivation and descriptive statistics of all variables are given in Web Appendix WA1.</w:t>
      </w:r>
      <w:r w:rsidR="00927F98">
        <w:t xml:space="preserve">  </w:t>
      </w:r>
      <w:r>
        <w:t xml:space="preserve">The data (and Stata code) are openly available for other researchers’ use at </w:t>
      </w:r>
      <w:hyperlink r:id="rId11" w:history="1">
        <w:r w:rsidR="00D975D6" w:rsidRPr="006C4B90">
          <w:rPr>
            <w:rStyle w:val="Hyperlink"/>
          </w:rPr>
          <w:t>www.benbaumberg.com/publications</w:t>
        </w:r>
      </w:hyperlink>
      <w:r>
        <w:t>.</w:t>
      </w:r>
    </w:p>
    <w:p w14:paraId="42A84E8D" w14:textId="77777777" w:rsidR="007721E9" w:rsidRDefault="007721E9" w:rsidP="00901C82">
      <w:pPr>
        <w:pStyle w:val="Heading1"/>
      </w:pPr>
      <w:r>
        <w:lastRenderedPageBreak/>
        <w:t>Results</w:t>
      </w:r>
    </w:p>
    <w:p w14:paraId="4DDA45D2" w14:textId="566712FF" w:rsidR="007721E9" w:rsidRDefault="007721E9" w:rsidP="00AE5CAF">
      <w:pPr>
        <w:pStyle w:val="Heading3"/>
      </w:pPr>
      <w:r>
        <w:t>Levels of benefits stigma</w:t>
      </w:r>
    </w:p>
    <w:p w14:paraId="4B1B00E1" w14:textId="01DC647C" w:rsidR="007721E9" w:rsidRDefault="007721E9" w:rsidP="00087547">
      <w:r>
        <w:t xml:space="preserve">Respondent’s reported level of stigma is reported in </w:t>
      </w:r>
      <w:r w:rsidR="008E17F9">
        <w:t>Table 1</w:t>
      </w:r>
      <w:r>
        <w:t xml:space="preserve"> below.  Looking at the maximum stigma reported for any benefit (‘All’), 20.4% </w:t>
      </w:r>
      <w:r w:rsidRPr="00032E7A">
        <w:rPr>
          <w:i/>
        </w:rPr>
        <w:t>personally</w:t>
      </w:r>
      <w:r>
        <w:t xml:space="preserve"> think that people should feel ashamed to claim at least </w:t>
      </w:r>
      <w:r w:rsidRPr="00471BD7">
        <w:t>one benefit (‘</w:t>
      </w:r>
      <w:r w:rsidR="00526629">
        <w:t>Personal</w:t>
      </w:r>
      <w:r w:rsidR="00526629" w:rsidRPr="00471BD7">
        <w:t xml:space="preserve"> </w:t>
      </w:r>
      <w:r w:rsidRPr="00471BD7">
        <w:t xml:space="preserve">stigma’), while significantly more (27.2%, p&lt;0.01) believe </w:t>
      </w:r>
      <w:r w:rsidRPr="00471BD7">
        <w:rPr>
          <w:i/>
        </w:rPr>
        <w:t>others</w:t>
      </w:r>
      <w:r w:rsidRPr="00471BD7">
        <w:t xml:space="preserve"> feel that people feel ashamed to claim at least one benefit (‘Stigmatisation’). A further group of almost the same size said they ‘neither agreed nor disagreed’ (14.4% for </w:t>
      </w:r>
      <w:r w:rsidR="00526629">
        <w:t xml:space="preserve">personal </w:t>
      </w:r>
      <w:r w:rsidRPr="00471BD7">
        <w:t>stigma, 20.3% for stigmatisation; see Web Appendix WA2 for</w:t>
      </w:r>
      <w:r>
        <w:t xml:space="preserve"> the full table and responses on the ten-point scale), which may indicate a further group of people who think that claiming is stigmatised but </w:t>
      </w:r>
      <w:r w:rsidR="00583993">
        <w:t>to a lesser extent</w:t>
      </w:r>
      <w:r>
        <w:t>.</w:t>
      </w:r>
    </w:p>
    <w:p w14:paraId="086129CC" w14:textId="77777777" w:rsidR="007721E9" w:rsidRDefault="007721E9" w:rsidP="00087547"/>
    <w:p w14:paraId="0E213744" w14:textId="5C760891" w:rsidR="007721E9" w:rsidRDefault="007721E9" w:rsidP="00A61447">
      <w:r>
        <w:t xml:space="preserve">Claimants sometimes – but not always – perceive less stigma than </w:t>
      </w:r>
      <w:r w:rsidR="000C7C01">
        <w:t xml:space="preserve">the general population </w:t>
      </w:r>
      <w:r>
        <w:t xml:space="preserve">(due to difficulties of comparability when aggregating across different types of benefit, we focus on individual benefits).  Claimants of unemployment and incapacity benefits were as likely as </w:t>
      </w:r>
      <w:r w:rsidR="000C7C01">
        <w:t xml:space="preserve">others </w:t>
      </w:r>
      <w:r>
        <w:t xml:space="preserve">to believe they should feel ashamed to claim (about 10% agreeing), but claimants of single parent benefits, housing benefit or in-work tax credits were less likely to agree they should feel ashamed (6-7% agreeing vs. 10-12% of non-claimants; p=0.01, 0.05 and 0.01 for each benefit respectively).  Levels of stigmatisation, however, were similar between claimants and </w:t>
      </w:r>
      <w:r w:rsidR="000C7C01">
        <w:t xml:space="preserve">the general population </w:t>
      </w:r>
      <w:r>
        <w:t xml:space="preserve">for each benefit.  Overall, a sizeable minority of benefit claimants </w:t>
      </w:r>
      <w:r w:rsidR="00583993">
        <w:t xml:space="preserve">themselves </w:t>
      </w:r>
      <w:r>
        <w:t xml:space="preserve">think </w:t>
      </w:r>
      <w:r w:rsidR="00583993">
        <w:t xml:space="preserve">that people </w:t>
      </w:r>
      <w:r>
        <w:t>should be ashamed to claim their benefit (8.7% of claimants) or think that people in general feel they should be ashamed (20.6%)</w:t>
      </w:r>
      <w:r w:rsidR="00047548">
        <w:t xml:space="preserve">, which </w:t>
      </w:r>
      <w:r w:rsidR="00047548">
        <w:rPr>
          <w:i/>
        </w:rPr>
        <w:t>potentially</w:t>
      </w:r>
      <w:r w:rsidR="00047548">
        <w:t xml:space="preserve"> – if they do not deflect this (see above) – may lead them to feel shame</w:t>
      </w:r>
      <w:r>
        <w:t>.</w:t>
      </w:r>
    </w:p>
    <w:p w14:paraId="60C4ACC7" w14:textId="77777777" w:rsidR="007721E9" w:rsidRDefault="007721E9" w:rsidP="00A61447"/>
    <w:p w14:paraId="4C438DE2" w14:textId="003B4572" w:rsidR="007721E9" w:rsidRDefault="00C51495" w:rsidP="002377A1">
      <w:r>
        <w:t>P</w:t>
      </w:r>
      <w:r w:rsidR="007721E9">
        <w:t>revious studies have shown marked differences in perceptions of stigma for different benefits</w:t>
      </w:r>
      <w:r>
        <w:t xml:space="preserve"> -  ‘welfare’ is considerably more stigmatised than Medicaid or social security in the US </w:t>
      </w:r>
      <w:r>
        <w:fldChar w:fldCharType="begin"/>
      </w:r>
      <w:r>
        <w:instrText xml:space="preserve"> ADDIN EN.CITE &lt;EndNote&gt;&lt;Cite&gt;&lt;Author&gt;Stuber&lt;/Author&gt;&lt;Year&gt;2004&lt;/Year&gt;&lt;RecNum&gt;209&lt;/RecNum&gt;&lt;DisplayText&gt;(Stuber and Kronebusch, 2004; Williamson, 1974)&lt;/DisplayText&gt;&lt;record&gt;&lt;rec-number&gt;209&lt;/rec-number&gt;&lt;foreign-keys&gt;&lt;key app="EN" db-id="5xatt0094rr92mepzaexd2xzx29appesae0a" timestamp="0"&gt;209&lt;/key&gt;&lt;/foreign-keys&gt;&lt;ref-type name="Journal Article"&gt;17&lt;/ref-type&gt;&lt;contributors&gt;&lt;authors&gt;&lt;author&gt;Jennifer Stuber&lt;/author&gt;&lt;author&gt;Karl Kronebusch&lt;/author&gt;&lt;/authors&gt;&lt;/contributors&gt;&lt;titles&gt;&lt;title&gt;Stigma and Other Determinants of Participation in TANF and Medicaid&lt;/title&gt;&lt;secondary-title&gt;Journal of Policy Analysis and Management&lt;/secondary-title&gt;&lt;/titles&gt;&lt;periodical&gt;&lt;full-title&gt;Journal of Policy Analysis and Management&lt;/full-title&gt;&lt;/periodical&gt;&lt;pages&gt;509-530&lt;/pages&gt;&lt;volume&gt;23&lt;/volume&gt;&lt;number&gt;3&lt;/number&gt;&lt;dates&gt;&lt;year&gt;2004&lt;/year&gt;&lt;/dates&gt;&lt;urls&gt;&lt;/urls&gt;&lt;electronic-resource-num&gt;10.1002/pam.20024&lt;/electronic-resource-num&gt;&lt;/record&gt;&lt;/Cite&gt;&lt;Cite&gt;&lt;Author&gt;Williamson&lt;/Author&gt;&lt;Year&gt;1974&lt;/Year&gt;&lt;RecNum&gt;225&lt;/RecNum&gt;&lt;record&gt;&lt;rec-number&gt;225&lt;/rec-number&gt;&lt;foreign-keys&gt;&lt;key app="EN" db-id="5xatt0094rr92mepzaexd2xzx29appesae0a" timestamp="0"&gt;225&lt;/key&gt;&lt;/foreign-keys&gt;&lt;ref-type name="Journal Article"&gt;17&lt;/ref-type&gt;&lt;contributors&gt;&lt;authors&gt;&lt;author&gt;Williamson,John B&lt;/author&gt;&lt;/authors&gt;&lt;/contributors&gt;&lt;titles&gt;&lt;title&gt;The Stigma of Public Dependency: A Comparison of Alternative Forms of Public Aid to the Poor&lt;/title&gt;&lt;secondary-title&gt;Social Problems&lt;/secondary-title&gt;&lt;/titles&gt;&lt;periodical&gt;&lt;full-title&gt;Social Problems&lt;/full-title&gt;&lt;/periodical&gt;&lt;pages&gt;213-228&lt;/pages&gt;&lt;volume&gt;22&lt;/volume&gt;&lt;number&gt;2&lt;/number&gt;&lt;dates&gt;&lt;year&gt;1974&lt;/year&gt;&lt;/dates&gt;&lt;urls&gt;&lt;related-urls&gt;&lt;url&gt;http://www.jstor.org/stable/799760&lt;/url&gt;&lt;/related-urls&gt;&lt;/urls&gt;&lt;/record&gt;&lt;/Cite&gt;&lt;/EndNote&gt;</w:instrText>
      </w:r>
      <w:r>
        <w:fldChar w:fldCharType="separate"/>
      </w:r>
      <w:r>
        <w:rPr>
          <w:noProof/>
        </w:rPr>
        <w:t>(Stuber and Kronebusch, 2004; Williamson, 1974)</w:t>
      </w:r>
      <w:r>
        <w:fldChar w:fldCharType="end"/>
      </w:r>
      <w:r>
        <w:t xml:space="preserve">, and in Sweden, 68% thought that people often look down on the recipients of social assistance, compared to only 19% for unemployment benefit and just 4% for the basic pension </w:t>
      </w:r>
      <w:r>
        <w:fldChar w:fldCharType="begin"/>
      </w:r>
      <w:r>
        <w:instrText xml:space="preserve"> ADDIN EN.CITE &lt;EndNote&gt;&lt;Cite&gt;&lt;Author&gt;Albrekt Larsen&lt;/Author&gt;&lt;Year&gt;2006&lt;/Year&gt;&lt;RecNum&gt;288&lt;/RecNum&gt;&lt;DisplayText&gt;(Albrekt Larsen, 2006)&lt;/DisplayText&gt;&lt;record&gt;&lt;rec-number&gt;288&lt;/rec-number&gt;&lt;foreign-keys&gt;&lt;key app="EN" db-id="5xatt0094rr92mepzaexd2xzx29appesae0a" timestamp="0"&gt;288&lt;/key&gt;&lt;/foreign-keys&gt;&lt;ref-type name="Book"&gt;6&lt;/ref-type&gt;&lt;contributors&gt;&lt;authors&gt;&lt;author&gt;Albrekt Larsen, Christian&lt;/author&gt;&lt;/authors&gt;&lt;/contributors&gt;&lt;titles&gt;&lt;title&gt;The institutional logic of welfare attitudes: how welfare regimes influence public support &lt;/title&gt;&lt;/titles&gt;&lt;dates&gt;&lt;year&gt;2006&lt;/year&gt;&lt;/dates&gt;&lt;pub-location&gt;Aldershot&lt;/pub-location&gt;&lt;publisher&gt;Ashgate&lt;/publisher&gt;&lt;urls&gt;&lt;/urls&gt;&lt;/record&gt;&lt;/Cite&gt;&lt;/EndNote&gt;</w:instrText>
      </w:r>
      <w:r>
        <w:fldChar w:fldCharType="separate"/>
      </w:r>
      <w:r>
        <w:rPr>
          <w:noProof/>
        </w:rPr>
        <w:t>(Albrekt Larsen, 2006)</w:t>
      </w:r>
      <w:r>
        <w:fldChar w:fldCharType="end"/>
      </w:r>
      <w:r>
        <w:t>. I</w:t>
      </w:r>
      <w:r w:rsidR="007721E9">
        <w:t xml:space="preserve">t is </w:t>
      </w:r>
      <w:r>
        <w:t xml:space="preserve">therefore </w:t>
      </w:r>
      <w:r w:rsidR="007721E9">
        <w:t xml:space="preserve">surprising that there is so little difference in stigma across the five benefits here.  There were statistically significant differences for both </w:t>
      </w:r>
      <w:r w:rsidR="002F6954">
        <w:t xml:space="preserve">personal </w:t>
      </w:r>
      <w:r w:rsidR="007721E9">
        <w:t xml:space="preserve">stigma and stigmatisation, with stigma being lowest for incapacity benefits and particularly tax credits, and greatest for single parent benefits. However, the extent of the differences in </w:t>
      </w:r>
      <w:r w:rsidR="008E17F9">
        <w:t xml:space="preserve">Table 1 </w:t>
      </w:r>
      <w:r w:rsidR="007721E9">
        <w:t xml:space="preserve">is relatively small.  </w:t>
      </w:r>
      <w:r w:rsidR="00583993">
        <w:t xml:space="preserve">We return in the Conclusion to ways in which differences between benefits could be explored further in future research.  </w:t>
      </w:r>
    </w:p>
    <w:p w14:paraId="01B3F18B" w14:textId="77777777" w:rsidR="007721E9" w:rsidRDefault="007721E9" w:rsidP="002377A1"/>
    <w:p w14:paraId="0460EE56" w14:textId="77777777" w:rsidR="007721E9" w:rsidRDefault="007721E9" w:rsidP="00996574">
      <w:pPr>
        <w:rPr>
          <w:b/>
        </w:rPr>
      </w:pPr>
      <w:r w:rsidRPr="00633ABD">
        <w:rPr>
          <w:b/>
        </w:rPr>
        <w:t>[Table 1 about here]</w:t>
      </w:r>
    </w:p>
    <w:p w14:paraId="53EFE4D7" w14:textId="77777777" w:rsidR="007721E9" w:rsidRDefault="007721E9" w:rsidP="00996574">
      <w:pPr>
        <w:rPr>
          <w:b/>
        </w:rPr>
      </w:pPr>
    </w:p>
    <w:p w14:paraId="1F7705AC" w14:textId="34CD2DD9" w:rsidR="007721E9" w:rsidRDefault="007721E9" w:rsidP="00996574">
      <w:r>
        <w:t xml:space="preserve">When we turn to claims stigma, levels increase considerably – as many as 57.8% of people disagreed that </w:t>
      </w:r>
      <w:r w:rsidRPr="00D0601A">
        <w:rPr>
          <w:i/>
        </w:rPr>
        <w:t>‘People are generally treated with respect when they claim benefits’</w:t>
      </w:r>
      <w:r>
        <w:rPr>
          <w:i/>
        </w:rPr>
        <w:t xml:space="preserve"> </w:t>
      </w:r>
      <w:r>
        <w:t xml:space="preserve">(with only 20.8% agreeing), which is similar among claimants and non-claimants (57.1% vs. 60.0% disagreeing).  </w:t>
      </w:r>
      <w:r w:rsidR="008A1F22">
        <w:t xml:space="preserve">Surprisingly, the association of claims stigma </w:t>
      </w:r>
      <w:r>
        <w:t xml:space="preserve">to </w:t>
      </w:r>
      <w:r w:rsidR="002F6954">
        <w:t xml:space="preserve">personal </w:t>
      </w:r>
      <w:r>
        <w:t xml:space="preserve">stigma and stigmatisation is </w:t>
      </w:r>
      <w:r>
        <w:rPr>
          <w:i/>
        </w:rPr>
        <w:t>negative</w:t>
      </w:r>
      <w:r>
        <w:t xml:space="preserve">. For example, those who reported </w:t>
      </w:r>
      <w:r w:rsidR="002F6954">
        <w:t xml:space="preserve">personal </w:t>
      </w:r>
      <w:r>
        <w:t>stigma were</w:t>
      </w:r>
      <w:r w:rsidR="00047548">
        <w:t xml:space="preserve"> much</w:t>
      </w:r>
      <w:r>
        <w:t xml:space="preserve"> </w:t>
      </w:r>
      <w:r w:rsidRPr="00E86B87">
        <w:rPr>
          <w:i/>
        </w:rPr>
        <w:t>less</w:t>
      </w:r>
      <w:r>
        <w:t xml:space="preserve"> likely to report claims stigma (40.8% vs. 20.8% agreed claimants are treated with respect; weighted χ</w:t>
      </w:r>
      <w:r>
        <w:rPr>
          <w:vertAlign w:val="superscript"/>
        </w:rPr>
        <w:t>2</w:t>
      </w:r>
      <w:r>
        <w:t xml:space="preserve"> test p&lt;0.001).  This suggests that the more stigmatising respondents think benefits should be, the less respectfully they think people should be treated, and the more likely they are to say that this (lower) threshold is met. </w:t>
      </w:r>
    </w:p>
    <w:p w14:paraId="67295BA3" w14:textId="77777777" w:rsidR="007721E9" w:rsidRDefault="007721E9" w:rsidP="00AE5CAF">
      <w:pPr>
        <w:pStyle w:val="Heading3"/>
      </w:pPr>
      <w:r>
        <w:t>Stigma and benefit take-up</w:t>
      </w:r>
    </w:p>
    <w:p w14:paraId="75B16D0B" w14:textId="09CD7C44" w:rsidR="007721E9" w:rsidRDefault="007721E9" w:rsidP="00E86B87">
      <w:r>
        <w:t xml:space="preserve">The second set of questions asked non-claimants if </w:t>
      </w:r>
      <w:r w:rsidR="002F6954">
        <w:t xml:space="preserve">shame </w:t>
      </w:r>
      <w:r>
        <w:t xml:space="preserve">would affect their take-up of benefits if they were eligible and in need, or asking claimants if </w:t>
      </w:r>
      <w:r w:rsidR="002F6954">
        <w:t xml:space="preserve">shame </w:t>
      </w:r>
      <w:r>
        <w:t xml:space="preserve">had stopped/delayed them claiming in the past; the results are shown in </w:t>
      </w:r>
      <w:r w:rsidR="008E17F9">
        <w:t>Table 2</w:t>
      </w:r>
      <w:r>
        <w:t xml:space="preserve">.   Combining the two question versions, 16.9% said that their benefits take-up would be affected by </w:t>
      </w:r>
      <w:r w:rsidR="002F6954">
        <w:t xml:space="preserve">personal shame </w:t>
      </w:r>
      <w:r>
        <w:t xml:space="preserve">(pride, thinking benefits are for other people), 12.8% by claims </w:t>
      </w:r>
      <w:r w:rsidR="002F6954">
        <w:t xml:space="preserve">shaming </w:t>
      </w:r>
      <w:r>
        <w:t xml:space="preserve">(personal information or treatment by officials) and only 4.3% by </w:t>
      </w:r>
      <w:r w:rsidR="002F6954">
        <w:t xml:space="preserve">social shaming </w:t>
      </w:r>
      <w:r>
        <w:t xml:space="preserve">(how other people would react).  In total, 26.6% of people gave at least one </w:t>
      </w:r>
      <w:r w:rsidR="002F6954">
        <w:t>shame</w:t>
      </w:r>
      <w:r>
        <w:t xml:space="preserve">-related reason for not claiming.  </w:t>
      </w:r>
    </w:p>
    <w:p w14:paraId="1E4756EE" w14:textId="77777777" w:rsidR="007721E9" w:rsidRDefault="007721E9" w:rsidP="00E42DB0"/>
    <w:p w14:paraId="7B5E53AB" w14:textId="40C4A9EC" w:rsidR="007721E9" w:rsidRDefault="007721E9" w:rsidP="0013681B">
      <w:r>
        <w:t xml:space="preserve">Comparing the type of benefit claimed, we see that people are </w:t>
      </w:r>
      <w:r w:rsidR="00047548">
        <w:t xml:space="preserve">slightly </w:t>
      </w:r>
      <w:r>
        <w:t xml:space="preserve">less likely to say that </w:t>
      </w:r>
      <w:r w:rsidR="002F6954">
        <w:t xml:space="preserve">shame </w:t>
      </w:r>
      <w:r>
        <w:t xml:space="preserve">influences their decision to claim tax credits than out-of-work benefits (26.6% vs. 24.1%, p=0.02) – but that this is </w:t>
      </w:r>
      <w:r>
        <w:rPr>
          <w:i/>
        </w:rPr>
        <w:t xml:space="preserve">only </w:t>
      </w:r>
      <w:r>
        <w:t xml:space="preserve">the case for </w:t>
      </w:r>
      <w:r w:rsidR="002F6954">
        <w:t xml:space="preserve">personal shame </w:t>
      </w:r>
      <w:r>
        <w:t xml:space="preserve">(16.9% vs. 13.0%, p&lt;0.01), and not </w:t>
      </w:r>
      <w:r w:rsidR="002F6954">
        <w:t xml:space="preserve">social shaming or claims shaming </w:t>
      </w:r>
      <w:r>
        <w:t xml:space="preserve">. The results are even more striking when we focus on the past experiences of claimants themselves.  Only 14.1% of tax credit claimants gave a </w:t>
      </w:r>
      <w:r w:rsidR="002F6954">
        <w:t>shame</w:t>
      </w:r>
      <w:r>
        <w:t>-related reason for delaying or not-claiming tax credits in the past, compared to 22.8% of benefits claimants.</w:t>
      </w:r>
    </w:p>
    <w:p w14:paraId="112C88DA" w14:textId="77777777" w:rsidR="007721E9" w:rsidRDefault="007721E9" w:rsidP="0013681B">
      <w:pPr>
        <w:rPr>
          <w:b/>
        </w:rPr>
      </w:pPr>
    </w:p>
    <w:p w14:paraId="310D0FF0" w14:textId="5D2936EA" w:rsidR="007721E9" w:rsidRPr="007721E9" w:rsidRDefault="007721E9" w:rsidP="0013681B">
      <w:pPr>
        <w:rPr>
          <w:b/>
        </w:rPr>
      </w:pPr>
      <w:r w:rsidRPr="007721E9">
        <w:rPr>
          <w:b/>
        </w:rPr>
        <w:t>[Table 2 about here]</w:t>
      </w:r>
    </w:p>
    <w:p w14:paraId="0DD54E08" w14:textId="77777777" w:rsidR="007721E9" w:rsidRDefault="007721E9" w:rsidP="00624350">
      <w:pPr>
        <w:pStyle w:val="Heading3"/>
      </w:pPr>
      <w:r>
        <w:t>Overlaps between stigmas</w:t>
      </w:r>
    </w:p>
    <w:p w14:paraId="4106D2F0" w14:textId="5DD279F4" w:rsidR="007721E9" w:rsidRDefault="007721E9" w:rsidP="0013681B">
      <w:r>
        <w:t>It might be expected that respondents are divided between those reporting no stigma and those reporting multiple types – but this is only partially the case</w:t>
      </w:r>
      <w:r w:rsidR="002A735A">
        <w:t>, as shown in Table 3</w:t>
      </w:r>
      <w:r>
        <w:t xml:space="preserve">.  Even just comparing </w:t>
      </w:r>
      <w:r w:rsidR="002F6954">
        <w:t xml:space="preserve">personal </w:t>
      </w:r>
      <w:r>
        <w:t xml:space="preserve">stigma and stigmatisation, 6.8% of respondents reported </w:t>
      </w:r>
      <w:r w:rsidR="002F6954">
        <w:t xml:space="preserve">personal </w:t>
      </w:r>
      <w:r>
        <w:t xml:space="preserve">stigma but not stigmatisation, while 13.5% reported stigmatisation without </w:t>
      </w:r>
      <w:r w:rsidR="002F6954">
        <w:t xml:space="preserve">personal </w:t>
      </w:r>
      <w:r>
        <w:t xml:space="preserve">stigma (66.1% report neither, 13.6% report both).   This means that over one-third of respondents believe </w:t>
      </w:r>
      <w:r>
        <w:rPr>
          <w:i/>
        </w:rPr>
        <w:t xml:space="preserve">either </w:t>
      </w:r>
      <w:r>
        <w:t xml:space="preserve">that they should feel ashamed for claiming, </w:t>
      </w:r>
      <w:r>
        <w:rPr>
          <w:i/>
        </w:rPr>
        <w:t xml:space="preserve">or </w:t>
      </w:r>
      <w:r>
        <w:t>that other people think so.</w:t>
      </w:r>
    </w:p>
    <w:p w14:paraId="599004E8" w14:textId="77777777" w:rsidR="002A735A" w:rsidRDefault="002A735A" w:rsidP="0013681B"/>
    <w:p w14:paraId="05191772" w14:textId="2EA517C1" w:rsidR="002A735A" w:rsidRPr="0019023E" w:rsidRDefault="002A735A" w:rsidP="0013681B">
      <w:pPr>
        <w:rPr>
          <w:b/>
        </w:rPr>
      </w:pPr>
      <w:r w:rsidRPr="0019023E">
        <w:rPr>
          <w:b/>
        </w:rPr>
        <w:t>[Table 3 about here]</w:t>
      </w:r>
    </w:p>
    <w:p w14:paraId="359F6906" w14:textId="77777777" w:rsidR="007721E9" w:rsidRDefault="007721E9" w:rsidP="0013681B"/>
    <w:p w14:paraId="1DCCA16B" w14:textId="6CBC2E75" w:rsidR="007721E9" w:rsidRDefault="007721E9" w:rsidP="00674BC7">
      <w:r>
        <w:t xml:space="preserve">There is similarly only a partial overlap between these measures and the </w:t>
      </w:r>
      <w:r w:rsidRPr="00633ABD">
        <w:t xml:space="preserve">take-up-related questions.   People who agreed that a certain type of stigma existed were more likely to say that </w:t>
      </w:r>
      <w:r w:rsidR="002F6954">
        <w:t xml:space="preserve">shame </w:t>
      </w:r>
      <w:r w:rsidRPr="00633ABD">
        <w:t xml:space="preserve">would affect their claim if they were needy and eligible (15.2, 3.6 and 8.5 percentage points more likely for each of </w:t>
      </w:r>
      <w:r w:rsidR="002F6954">
        <w:t xml:space="preserve">personal </w:t>
      </w:r>
      <w:r w:rsidRPr="00633ABD">
        <w:t xml:space="preserve">stigma, stigmatisation and claims stigma respectively).  Yet this still means that some people who </w:t>
      </w:r>
      <w:r w:rsidRPr="00633ABD">
        <w:rPr>
          <w:i/>
        </w:rPr>
        <w:t xml:space="preserve">disagreed </w:t>
      </w:r>
      <w:r w:rsidRPr="00633ABD">
        <w:t xml:space="preserve">that a certain type of stigma existed nevertheless said that </w:t>
      </w:r>
      <w:r w:rsidR="002F6954">
        <w:t xml:space="preserve">shame </w:t>
      </w:r>
      <w:r w:rsidRPr="00633ABD">
        <w:t xml:space="preserve">would influence their claim (13.6% of those who disagreed there was </w:t>
      </w:r>
      <w:r w:rsidR="002F6954">
        <w:t xml:space="preserve">personal </w:t>
      </w:r>
      <w:r w:rsidRPr="00633ABD">
        <w:t>stigma nevertheless</w:t>
      </w:r>
      <w:r>
        <w:t xml:space="preserve"> said </w:t>
      </w:r>
      <w:r w:rsidR="002F6954">
        <w:t xml:space="preserve">personal shame </w:t>
      </w:r>
      <w:r>
        <w:t>would influence their claim; this is 3.5% and 6.8% respectively for stigmatisation</w:t>
      </w:r>
      <w:r w:rsidR="002F6954">
        <w:t xml:space="preserve">/social shaming </w:t>
      </w:r>
      <w:r>
        <w:t>and claims stigma</w:t>
      </w:r>
      <w:r w:rsidR="002F6954">
        <w:t>/claims shaming</w:t>
      </w:r>
      <w:r>
        <w:t>).  Stigma is therefore more widespread than any single question captures: 48.7% of respondents gave at least some sign of stigmatising benefits (</w:t>
      </w:r>
      <w:r w:rsidR="002F6954">
        <w:t xml:space="preserve">personal </w:t>
      </w:r>
      <w:r>
        <w:t xml:space="preserve">stigma, stigmatisation, or a </w:t>
      </w:r>
      <w:r w:rsidR="002F6954">
        <w:t>shame</w:t>
      </w:r>
      <w:r>
        <w:t xml:space="preserve">-related reason that would affect their decision to claim), and a further 30.2% disagreed that claimants are treated with respect.   </w:t>
      </w:r>
    </w:p>
    <w:p w14:paraId="70DEA546" w14:textId="4B1F479F" w:rsidR="007721E9" w:rsidRDefault="007721E9" w:rsidP="00624350">
      <w:pPr>
        <w:pStyle w:val="Heading3"/>
      </w:pPr>
      <w:r>
        <w:t>Stigma and ‘dependency culture’</w:t>
      </w:r>
    </w:p>
    <w:p w14:paraId="79213D0A" w14:textId="665A3C2C" w:rsidR="001F1147" w:rsidRDefault="007721E9" w:rsidP="001F1147">
      <w:r>
        <w:t xml:space="preserve">Finally, we </w:t>
      </w:r>
      <w:r w:rsidR="008A1F22">
        <w:t>t</w:t>
      </w:r>
      <w:r>
        <w:t>est whether people in high-claim neighbourhoods hold lower benefits stigma than others; the results are shown in</w:t>
      </w:r>
      <w:r w:rsidR="002A735A">
        <w:t xml:space="preserve"> Table 4</w:t>
      </w:r>
      <w:r>
        <w:t xml:space="preserve">.  (The table does not show </w:t>
      </w:r>
      <w:r w:rsidR="000119FF">
        <w:t xml:space="preserve">results </w:t>
      </w:r>
      <w:r>
        <w:t xml:space="preserve">for claims stigma, which shows no significant patterns across any socioeconomic measure).  In contrast to the ‘dependency culture’ hypothesis, the initial model shows that people in high-claim neighbourhoods report 5.4 percentage points </w:t>
      </w:r>
      <w:r>
        <w:rPr>
          <w:i/>
        </w:rPr>
        <w:t xml:space="preserve">more </w:t>
      </w:r>
      <w:r w:rsidR="002F6954">
        <w:t>personal</w:t>
      </w:r>
      <w:r w:rsidR="002F6954">
        <w:rPr>
          <w:i/>
        </w:rPr>
        <w:t xml:space="preserve"> </w:t>
      </w:r>
      <w:r w:rsidRPr="00436821">
        <w:t>stigma</w:t>
      </w:r>
      <w:r>
        <w:rPr>
          <w:i/>
        </w:rPr>
        <w:t xml:space="preserve"> </w:t>
      </w:r>
      <w:r>
        <w:t xml:space="preserve">than those in lower-claim neighbourhoods.  When we simultaneously control for other socioeconomic factors then these patterns are maintained, and we also find a further surprising result: people in high-claim neighbourhoods are also 4.5 percentage points more likely to think that </w:t>
      </w:r>
      <w:r>
        <w:rPr>
          <w:i/>
        </w:rPr>
        <w:t xml:space="preserve">other people </w:t>
      </w:r>
      <w:r>
        <w:t xml:space="preserve">feel they should be ashamed to claim benefits (‘Stigmatisation’).  </w:t>
      </w:r>
      <w:r w:rsidR="001F1147">
        <w:t xml:space="preserve">Overall, those in high-claim areas were 4.6 percentage points more likely to give at least one stigma/shame-related response across the survey (‘All stigma/shame’).  </w:t>
      </w:r>
    </w:p>
    <w:p w14:paraId="3DDA5203" w14:textId="77777777" w:rsidR="001F1147" w:rsidRDefault="001F1147" w:rsidP="001F1147"/>
    <w:p w14:paraId="638FF6C3" w14:textId="5022A12B" w:rsidR="001F1147" w:rsidRDefault="008A1F22">
      <w:r>
        <w:t xml:space="preserve">Simultaneously, though, those in </w:t>
      </w:r>
      <w:r w:rsidR="007721E9">
        <w:t xml:space="preserve">high-claim neighbourhoods were </w:t>
      </w:r>
      <w:r w:rsidR="001F1147">
        <w:t xml:space="preserve">also </w:t>
      </w:r>
      <w:r w:rsidR="007721E9">
        <w:rPr>
          <w:i/>
        </w:rPr>
        <w:t xml:space="preserve">less </w:t>
      </w:r>
      <w:r w:rsidR="007721E9">
        <w:t xml:space="preserve">likely to say that </w:t>
      </w:r>
      <w:r w:rsidR="002F6954">
        <w:t xml:space="preserve">personal </w:t>
      </w:r>
      <w:r w:rsidR="00A27314">
        <w:t xml:space="preserve">shame </w:t>
      </w:r>
      <w:r w:rsidR="007721E9">
        <w:t xml:space="preserve">would influence their decision to claim.  This may reflect differences between morality and real-world preferences </w:t>
      </w:r>
      <w:r w:rsidR="007721E9">
        <w:fldChar w:fldCharType="begin"/>
      </w:r>
      <w:r w:rsidR="007721E9">
        <w:instrText xml:space="preserve"> ADDIN EN.CITE &lt;EndNote&gt;&lt;Cite&gt;&lt;Author&gt;Dunn&lt;/Author&gt;&lt;Year&gt;2011&lt;/Year&gt;&lt;RecNum&gt;519&lt;/RecNum&gt;&lt;Prefix&gt;as found for studies of the work ethic`; &lt;/Prefix&gt;&lt;Suffix&gt;:6&lt;/Suffix&gt;&lt;DisplayText&gt;(as found for studies of the work ethic; Dunn, 2011:6)&lt;/DisplayText&gt;&lt;record&gt;&lt;rec-number&gt;519&lt;/rec-number&gt;&lt;foreign-keys&gt;&lt;key app="EN" db-id="5xatt0094rr92mepzaexd2xzx29appesae0a" timestamp="1407085149"&gt;519&lt;/key&gt;&lt;/foreign-keys&gt;&lt;ref-type name="Journal Article"&gt;17&lt;/ref-type&gt;&lt;contributors&gt;&lt;authors&gt;&lt;author&gt;Dunn, Andrew&lt;/author&gt;&lt;/authors&gt;&lt;/contributors&gt;&lt;titles&gt;&lt;title&gt;Only fools? Reconsidering the relationship between commitment to the work ethic and educational attainment&lt;/title&gt;&lt;secondary-title&gt;Journal of Education and Work&lt;/secondary-title&gt;&lt;/titles&gt;&lt;periodical&gt;&lt;full-title&gt;Journal of Education and Work&lt;/full-title&gt;&lt;/periodical&gt;&lt;pages&gt;1-20&lt;/pages&gt;&lt;volume&gt;26&lt;/volume&gt;&lt;number&gt;1&lt;/number&gt;&lt;dates&gt;&lt;year&gt;2011&lt;/year&gt;&lt;pub-dates&gt;&lt;date&gt;2013/02/01&lt;/date&gt;&lt;/pub-dates&gt;&lt;/dates&gt;&lt;publisher&gt;Routledge&lt;/publisher&gt;&lt;isbn&gt;1363-9080&lt;/isbn&gt;&lt;urls&gt;&lt;related-urls&gt;&lt;url&gt;http://dx.doi.org/10.1080/13639080.2011.588595&lt;/url&gt;&lt;/related-urls&gt;&lt;/urls&gt;&lt;electronic-resource-num&gt;10.1080/13639080.2011.588595&lt;/electronic-resource-num&gt;&lt;access-date&gt;2014/08/03&lt;/access-date&gt;&lt;/record&gt;&lt;/Cite&gt;&lt;/EndNote&gt;</w:instrText>
      </w:r>
      <w:r w:rsidR="007721E9">
        <w:fldChar w:fldCharType="separate"/>
      </w:r>
      <w:r w:rsidR="007721E9">
        <w:rPr>
          <w:noProof/>
        </w:rPr>
        <w:t>(as found for studies of the work ethic; Dunn, 2011:6)</w:t>
      </w:r>
      <w:r w:rsidR="007721E9">
        <w:fldChar w:fldCharType="end"/>
      </w:r>
      <w:r w:rsidR="007721E9">
        <w:t xml:space="preserve">, such that those in high-claim areas are more aware that need ultimately trumps stigma </w:t>
      </w:r>
      <w:r w:rsidR="007721E9">
        <w:fldChar w:fldCharType="begin"/>
      </w:r>
      <w:r w:rsidR="007721E9">
        <w:instrText xml:space="preserve"> ADDIN EN.CITE &lt;EndNote&gt;&lt;Cite&gt;&lt;Author&gt;Rogers-Dillon&lt;/Author&gt;&lt;Year&gt;1995&lt;/Year&gt;&lt;RecNum&gt;363&lt;/RecNum&gt;&lt;DisplayText&gt;(Rogers-Dillon, 1995)&lt;/DisplayText&gt;&lt;record&gt;&lt;rec-number&gt;363&lt;/rec-number&gt;&lt;foreign-keys&gt;&lt;key app="EN" db-id="5xatt0094rr92mepzaexd2xzx29appesae0a" timestamp="0"&gt;363&lt;/key&gt;&lt;/foreign-keys&gt;&lt;ref-type name="Journal Article"&gt;17&lt;/ref-type&gt;&lt;contributors&gt;&lt;authors&gt;&lt;author&gt;Robin Rogers-Dillon&lt;/author&gt;&lt;/authors&gt;&lt;/contributors&gt;&lt;titles&gt;&lt;title&gt;The dynamics of welfare stigma&lt;/title&gt;&lt;secondary-title&gt;Qualitative Sociology&lt;/secondary-title&gt;&lt;/titles&gt;&lt;periodical&gt;&lt;full-title&gt;Qualitative Sociology&lt;/full-title&gt;&lt;/periodical&gt;&lt;pages&gt;439-456&lt;/pages&gt;&lt;volume&gt;18&lt;/volume&gt;&lt;number&gt;4&lt;/number&gt;&lt;dates&gt;&lt;year&gt;1995&lt;/year&gt;&lt;/dates&gt;&lt;urls&gt;&lt;related-urls&gt;&lt;url&gt;http://dx.doi.org/10.1007/BF02404490&lt;/url&gt;&lt;/related-urls&gt;&lt;/urls&gt;&lt;/record&gt;&lt;/Cite&gt;&lt;/EndNote&gt;</w:instrText>
      </w:r>
      <w:r w:rsidR="007721E9">
        <w:fldChar w:fldCharType="separate"/>
      </w:r>
      <w:r w:rsidR="007721E9">
        <w:rPr>
          <w:noProof/>
        </w:rPr>
        <w:t>(Rogers-Dillon, 1995)</w:t>
      </w:r>
      <w:r w:rsidR="007721E9">
        <w:fldChar w:fldCharType="end"/>
      </w:r>
      <w:r w:rsidR="00A27314">
        <w:t>; or it may alternatively reflect differences in how stigma translates to shame, with those in high-claim neighbourhoods being more likely to contrast the deserving self with undeserving others (as discussed above)</w:t>
      </w:r>
      <w:r w:rsidR="007721E9">
        <w:t xml:space="preserve">.   </w:t>
      </w:r>
      <w:r>
        <w:t xml:space="preserve">Table 4 similarly shows that other sociodemographic factors show reverse associations with stigma vs. shame as a reason for non-take-up, </w:t>
      </w:r>
      <w:r w:rsidR="007721E9">
        <w:t xml:space="preserve">which may explain the inconsistent results found for </w:t>
      </w:r>
      <w:r>
        <w:t xml:space="preserve">the effect of </w:t>
      </w:r>
      <w:r w:rsidR="007721E9">
        <w:t xml:space="preserve">education in the previous </w:t>
      </w:r>
      <w:r>
        <w:t xml:space="preserve">benefits stigma </w:t>
      </w:r>
      <w:r w:rsidR="007721E9">
        <w:t xml:space="preserve">literature </w:t>
      </w:r>
      <w:r w:rsidR="007721E9">
        <w:fldChar w:fldCharType="begin"/>
      </w:r>
      <w:r w:rsidR="007721E9">
        <w:instrText xml:space="preserve"> ADDIN EN.CITE &lt;EndNote&gt;&lt;Cite&gt;&lt;Author&gt;Stuber&lt;/Author&gt;&lt;Year&gt;2006&lt;/Year&gt;&lt;RecNum&gt;215&lt;/RecNum&gt;&lt;DisplayText&gt;(Stuber and Schlesinger, 2006; Handler and Hollingsworth, 1969)&lt;/DisplayText&gt;&lt;record&gt;&lt;rec-number&gt;215&lt;/rec-number&gt;&lt;foreign-keys&gt;&lt;key app="EN" db-id="5xatt0094rr92mepzaexd2xzx29appesae0a" timestamp="0"&gt;215&lt;/key&gt;&lt;/foreign-keys&gt;&lt;ref-type name="Journal Article"&gt;17&lt;/ref-type&gt;&lt;contributors&gt;&lt;authors&gt;&lt;author&gt;Jennifer Stuber&lt;/author&gt;&lt;author&gt;Mark Schlesinger&lt;/author&gt;&lt;/authors&gt;&lt;/contributors&gt;&lt;titles&gt;&lt;title&gt;Sources of stigma for means-tested government programs&lt;/title&gt;&lt;secondary-title&gt;Social Science &amp;amp; Medicine&lt;/secondary-title&gt;&lt;/titles&gt;&lt;periodical&gt;&lt;full-title&gt;Social Science &amp;amp; Medicine&lt;/full-title&gt;&lt;/periodical&gt;&lt;pages&gt;933-945&lt;/pages&gt;&lt;volume&gt;63&lt;/volume&gt;&lt;dates&gt;&lt;year&gt;2006&lt;/year&gt;&lt;/dates&gt;&lt;urls&gt;&lt;/urls&gt;&lt;electronic-resource-num&gt;10.1016/j.socscimed.2006.01.012&lt;/electronic-resource-num&gt;&lt;/record&gt;&lt;/Cite&gt;&lt;Cite&gt;&lt;Author&gt;Handler&lt;/Author&gt;&lt;Year&gt;1969&lt;/Year&gt;&lt;RecNum&gt;544&lt;/RecNum&gt;&lt;record&gt;&lt;rec-number&gt;544&lt;/rec-number&gt;&lt;foreign-keys&gt;&lt;key app="EN" db-id="5xatt0094rr92mepzaexd2xzx29appesae0a" timestamp="1407944681"&gt;544&lt;/key&gt;&lt;/foreign-keys&gt;&lt;ref-type name="Journal Article"&gt;17&lt;/ref-type&gt;&lt;contributors&gt;&lt;authors&gt;&lt;author&gt;J.F. Handler&lt;/author&gt;&lt;author&gt;E.J. Hollingsworth&lt;/author&gt;&lt;/authors&gt;&lt;/contributors&gt;&lt;titles&gt;&lt;title&gt;Stigma, privacy and other attitudes of welfare recipients&lt;/title&gt;&lt;secondary-title&gt;Stanford Law Review&lt;/secondary-title&gt;&lt;/titles&gt;&lt;periodical&gt;&lt;full-title&gt;Stanford Law Review&lt;/full-title&gt;&lt;/periodical&gt;&lt;pages&gt;1-19&lt;/pages&gt;&lt;volume&gt;22&lt;/volume&gt;&lt;number&gt;1&lt;/number&gt;&lt;dates&gt;&lt;year&gt;1969&lt;/year&gt;&lt;/dates&gt;&lt;urls&gt;&lt;related-urls&gt;&lt;url&gt;http://www.jstor.org/stable/1227402&lt;/url&gt;&lt;/related-urls&gt;&lt;/urls&gt;&lt;/record&gt;&lt;/Cite&gt;&lt;/EndNote&gt;</w:instrText>
      </w:r>
      <w:r w:rsidR="007721E9">
        <w:fldChar w:fldCharType="separate"/>
      </w:r>
      <w:r w:rsidR="007721E9">
        <w:rPr>
          <w:noProof/>
        </w:rPr>
        <w:t>(Stuber and Schlesinger, 2006; Handler and Hollingsworth, 1969)</w:t>
      </w:r>
      <w:r w:rsidR="007721E9">
        <w:fldChar w:fldCharType="end"/>
      </w:r>
      <w:r w:rsidR="007721E9">
        <w:t xml:space="preserve">.  </w:t>
      </w:r>
    </w:p>
    <w:p w14:paraId="5311674C" w14:textId="77777777" w:rsidR="008A1F22" w:rsidRDefault="008A1F22"/>
    <w:p w14:paraId="0E2B9101" w14:textId="6726620D" w:rsidR="007721E9" w:rsidRDefault="001F1147" w:rsidP="006D3BA1">
      <w:r>
        <w:lastRenderedPageBreak/>
        <w:t xml:space="preserve">While not the focus of our study, </w:t>
      </w:r>
      <w:r w:rsidR="008A1F22">
        <w:t>it is worth noting that c</w:t>
      </w:r>
      <w:r w:rsidR="007721E9">
        <w:t xml:space="preserve">laimants themselves hold lower levels of </w:t>
      </w:r>
      <w:r w:rsidR="002F6954">
        <w:t xml:space="preserve">personal </w:t>
      </w:r>
      <w:r w:rsidR="007721E9">
        <w:t>stigma, but this is not the case for other forms of stigma</w:t>
      </w:r>
      <w:r w:rsidR="00A27314">
        <w:t>/shame</w:t>
      </w:r>
      <w:r w:rsidR="007721E9">
        <w:t xml:space="preserve">, and overall they are as likely to give a stigma-related response as non-claimants.  There are also signs that out-of-work respondents and those in high-unemployment areas report some form of stigma more strongly (although these are not significant at conventional levels), and that those in social housing are less likely to give any stigma-related response.  Many of the socioeconomic patterns are weak and/or non-significant, however, as has been found in smaller previous stigma surveys </w:t>
      </w:r>
      <w:r w:rsidR="007721E9">
        <w:fldChar w:fldCharType="begin"/>
      </w:r>
      <w:r w:rsidR="007721E9">
        <w:instrText xml:space="preserve"> ADDIN EN.CITE &lt;EndNote&gt;&lt;Cite&gt;&lt;Author&gt;Handler&lt;/Author&gt;&lt;Year&gt;1969&lt;/Year&gt;&lt;RecNum&gt;544&lt;/RecNum&gt;&lt;DisplayText&gt;(Handler and Hollingsworth, 1969)&lt;/DisplayText&gt;&lt;record&gt;&lt;rec-number&gt;544&lt;/rec-number&gt;&lt;foreign-keys&gt;&lt;key app="EN" db-id="5xatt0094rr92mepzaexd2xzx29appesae0a" timestamp="1407944681"&gt;544&lt;/key&gt;&lt;/foreign-keys&gt;&lt;ref-type name="Journal Article"&gt;17&lt;/ref-type&gt;&lt;contributors&gt;&lt;authors&gt;&lt;author&gt;J.F. Handler&lt;/author&gt;&lt;author&gt;E.J. Hollingsworth&lt;/author&gt;&lt;/authors&gt;&lt;/contributors&gt;&lt;titles&gt;&lt;title&gt;Stigma, privacy and other attitudes of welfare recipients&lt;/title&gt;&lt;secondary-title&gt;Stanford Law Review&lt;/secondary-title&gt;&lt;/titles&gt;&lt;periodical&gt;&lt;full-title&gt;Stanford Law Review&lt;/full-title&gt;&lt;/periodical&gt;&lt;pages&gt;1-19&lt;/pages&gt;&lt;volume&gt;22&lt;/volume&gt;&lt;number&gt;1&lt;/number&gt;&lt;dates&gt;&lt;year&gt;1969&lt;/year&gt;&lt;/dates&gt;&lt;urls&gt;&lt;related-urls&gt;&lt;url&gt;http://www.jstor.org/stable/1227402&lt;/url&gt;&lt;/related-urls&gt;&lt;/urls&gt;&lt;/record&gt;&lt;/Cite&gt;&lt;/EndNote&gt;</w:instrText>
      </w:r>
      <w:r w:rsidR="007721E9">
        <w:fldChar w:fldCharType="separate"/>
      </w:r>
      <w:r w:rsidR="007721E9">
        <w:rPr>
          <w:noProof/>
        </w:rPr>
        <w:t>(Handler and Hollingsworth, 1969)</w:t>
      </w:r>
      <w:r w:rsidR="007721E9">
        <w:fldChar w:fldCharType="end"/>
      </w:r>
      <w:r w:rsidR="007721E9">
        <w:t>.</w:t>
      </w:r>
      <w:r w:rsidR="008A1F22">
        <w:t xml:space="preserve">  Similarly, respondents aged 45+ were less likely to give a </w:t>
      </w:r>
      <w:r w:rsidR="008A1F22">
        <w:rPr>
          <w:i/>
        </w:rPr>
        <w:t>non-</w:t>
      </w:r>
      <w:r w:rsidR="008A1F22">
        <w:t xml:space="preserve">shame-related reason for non-claiming, but there were otherwise few significant patterns by age and gender.  </w:t>
      </w:r>
    </w:p>
    <w:p w14:paraId="352AE5F2" w14:textId="77777777" w:rsidR="007721E9" w:rsidRDefault="007721E9" w:rsidP="006D3BA1"/>
    <w:p w14:paraId="49C44696" w14:textId="468C7506" w:rsidR="007721E9" w:rsidRPr="007721E9" w:rsidRDefault="007721E9" w:rsidP="006D3BA1">
      <w:pPr>
        <w:rPr>
          <w:b/>
        </w:rPr>
      </w:pPr>
      <w:r>
        <w:rPr>
          <w:b/>
        </w:rPr>
        <w:t xml:space="preserve">[Table </w:t>
      </w:r>
      <w:r w:rsidR="002A735A">
        <w:rPr>
          <w:b/>
        </w:rPr>
        <w:t xml:space="preserve">4 </w:t>
      </w:r>
      <w:r>
        <w:rPr>
          <w:b/>
        </w:rPr>
        <w:t>about here]</w:t>
      </w:r>
    </w:p>
    <w:p w14:paraId="1AE763F8" w14:textId="2F098CA2" w:rsidR="007721E9" w:rsidRDefault="007721E9" w:rsidP="007721E9">
      <w:pPr>
        <w:pStyle w:val="ListParagraph"/>
        <w:numPr>
          <w:ilvl w:val="1"/>
          <w:numId w:val="1"/>
        </w:numPr>
        <w:sectPr w:rsidR="007721E9" w:rsidSect="00901C82">
          <w:type w:val="continuous"/>
          <w:pgSz w:w="11906" w:h="16838"/>
          <w:pgMar w:top="1440" w:right="1440" w:bottom="1440" w:left="1440" w:header="708" w:footer="708" w:gutter="0"/>
          <w:cols w:space="708"/>
          <w:docGrid w:linePitch="360"/>
        </w:sectPr>
      </w:pPr>
    </w:p>
    <w:p w14:paraId="39F2E85A" w14:textId="77777777" w:rsidR="007721E9" w:rsidRDefault="007721E9" w:rsidP="00901C82">
      <w:pPr>
        <w:pStyle w:val="Heading1"/>
      </w:pPr>
      <w:r>
        <w:lastRenderedPageBreak/>
        <w:t>Discussion</w:t>
      </w:r>
    </w:p>
    <w:p w14:paraId="2D918F38" w14:textId="7652EA1E" w:rsidR="007721E9" w:rsidRDefault="007721E9" w:rsidP="00430EAB">
      <w:r>
        <w:t xml:space="preserve">While stigma </w:t>
      </w:r>
      <w:r w:rsidR="008A1F22">
        <w:t xml:space="preserve">in </w:t>
      </w:r>
      <w:r>
        <w:t>the benefits system</w:t>
      </w:r>
      <w:r w:rsidR="008A1F22">
        <w:t xml:space="preserve"> has long been debated</w:t>
      </w:r>
      <w:r>
        <w:t xml:space="preserve">, there have been few previous large-scale quantitative studies of benefits stigma, particularly in recent years. Using a new, nationally-representative survey with a boost sample of benefit claimants, we find that 10-12% of respondents agree </w:t>
      </w:r>
      <w:r w:rsidRPr="00C52793">
        <w:rPr>
          <w:i/>
        </w:rPr>
        <w:t>themselves</w:t>
      </w:r>
      <w:r>
        <w:t xml:space="preserve"> that people should feel ashamed to claim each of five individual benefits (‘</w:t>
      </w:r>
      <w:r w:rsidR="002F6954">
        <w:t xml:space="preserve">personal </w:t>
      </w:r>
      <w:r>
        <w:t xml:space="preserve">stigma’) and 16-19% think that </w:t>
      </w:r>
      <w:r w:rsidRPr="00C52793">
        <w:rPr>
          <w:i/>
        </w:rPr>
        <w:t>other people</w:t>
      </w:r>
      <w:r>
        <w:t xml:space="preserve"> believe people should feel ashamed to claim (‘stigmatisation’).  Looking at the proportions who report stigma </w:t>
      </w:r>
      <w:r w:rsidRPr="00C52793">
        <w:t>for at least one benefit</w:t>
      </w:r>
      <w:r>
        <w:t xml:space="preserve">, 20% agree that </w:t>
      </w:r>
      <w:r w:rsidR="002F6954">
        <w:t xml:space="preserve">personal </w:t>
      </w:r>
      <w:r>
        <w:t>stigma exists and 27% agree that stigmatisation exists</w:t>
      </w:r>
      <w:r>
        <w:rPr>
          <w:i/>
        </w:rPr>
        <w:t xml:space="preserve"> </w:t>
      </w:r>
      <w:r>
        <w:t>– and as many as 34% say either one or the other.  Moreover, an outright majority (58%) disagree that people are treated with respect when they claim (‘claims stigma’).  It is therefore clear that benefits stigma is a multifaceted phenomenon, and that it is possible to capture this quantitatively.</w:t>
      </w:r>
    </w:p>
    <w:p w14:paraId="7EB39E47" w14:textId="77777777" w:rsidR="007721E9" w:rsidRDefault="007721E9" w:rsidP="00A51781"/>
    <w:p w14:paraId="46BF53A3" w14:textId="77BB4D8A" w:rsidR="007721E9" w:rsidRDefault="007721E9" w:rsidP="0057783F">
      <w:r>
        <w:t xml:space="preserve">We also asked respondents whether </w:t>
      </w:r>
      <w:r w:rsidR="002F6954">
        <w:t xml:space="preserve">shame </w:t>
      </w:r>
      <w:r>
        <w:t>would influence their decision to claim benefits</w:t>
      </w:r>
      <w:r w:rsidR="008A1F22">
        <w:t>/</w:t>
      </w:r>
      <w:r>
        <w:t xml:space="preserve">tax credits, </w:t>
      </w:r>
      <w:r>
        <w:rPr>
          <w:i/>
        </w:rPr>
        <w:t xml:space="preserve">if </w:t>
      </w:r>
      <w:r>
        <w:t xml:space="preserve">they were needy and eligible.  Over one-quarter (27%) say that a </w:t>
      </w:r>
      <w:r w:rsidR="002F6954">
        <w:t>shame</w:t>
      </w:r>
      <w:r>
        <w:t xml:space="preserve">-related reason would make them less likely to claim; this is similar (if slightly higher) than given by eligible non-respondents as reasons for non-take-up in previous surveys.  It should be noted, however, that we asked if </w:t>
      </w:r>
      <w:r w:rsidR="002F6954">
        <w:t xml:space="preserve">shame </w:t>
      </w:r>
      <w:r>
        <w:t xml:space="preserve">would make people </w:t>
      </w:r>
      <w:r w:rsidRPr="0019023E">
        <w:rPr>
          <w:i/>
        </w:rPr>
        <w:t>less likely</w:t>
      </w:r>
      <w:r>
        <w:t xml:space="preserve"> to claim, and not if it would </w:t>
      </w:r>
      <w:r w:rsidRPr="0019023E">
        <w:rPr>
          <w:i/>
        </w:rPr>
        <w:t>stop</w:t>
      </w:r>
      <w:r>
        <w:t xml:space="preserve"> them claiming.  </w:t>
      </w:r>
      <w:r w:rsidR="002F6954">
        <w:t xml:space="preserve">Shame </w:t>
      </w:r>
      <w:r>
        <w:t xml:space="preserve">as an influence on take-up is also reported by some people who did </w:t>
      </w:r>
      <w:r w:rsidRPr="00EB2DDE">
        <w:rPr>
          <w:i/>
        </w:rPr>
        <w:t>not</w:t>
      </w:r>
      <w:r>
        <w:t xml:space="preserve"> report </w:t>
      </w:r>
      <w:r w:rsidR="002F6954">
        <w:t xml:space="preserve">personal </w:t>
      </w:r>
      <w:r>
        <w:t>stigma or stigmatisation, and in total, 49% of respondents give at least one stigma</w:t>
      </w:r>
      <w:r w:rsidR="002F6954">
        <w:t>/shame</w:t>
      </w:r>
      <w:r>
        <w:t>-related response within the survey, with a further 30% disagreeing that claimants are treated with respect when applying.  While the prevalence of some specific types of stigma for specific benefits can be relatively low, stigma in general is not a marginal phenomenon.</w:t>
      </w:r>
    </w:p>
    <w:p w14:paraId="5FA806D7" w14:textId="77777777" w:rsidR="007721E9" w:rsidRDefault="007721E9" w:rsidP="00A51781"/>
    <w:p w14:paraId="4C1B4484" w14:textId="4556D960" w:rsidR="007721E9" w:rsidRDefault="007721E9" w:rsidP="00A51781">
      <w:r>
        <w:lastRenderedPageBreak/>
        <w:t xml:space="preserve">One of the strengths of our survey was that we could compare stigma between claimants and non-claimants, a comparison rarely available in the previous literature. Claimants of certain benefits (in-work tax credits, housing benefit, income support for single parents) are less likely to report </w:t>
      </w:r>
      <w:r w:rsidR="002F6954">
        <w:t xml:space="preserve">personal </w:t>
      </w:r>
      <w:r>
        <w:t>stigma for that benefit</w:t>
      </w:r>
      <w:r w:rsidR="005D4965">
        <w:t xml:space="preserve">. This </w:t>
      </w:r>
      <w:r>
        <w:t xml:space="preserve">may reflect </w:t>
      </w:r>
      <w:r w:rsidR="005D4965">
        <w:t xml:space="preserve">that those who hold less stigmatising beliefs are more likely to claim benefits than others, or alternatively it may suggest </w:t>
      </w:r>
      <w:r>
        <w:t xml:space="preserve">a tendency for claimants to deflect stigma onto others (as shown in previous qualitative research).  However, there are no differences for other types of benefits nor other measures of stigma, and overall, claimants are just as likely </w:t>
      </w:r>
      <w:r w:rsidR="008A1F22">
        <w:t xml:space="preserve">as non-claimants </w:t>
      </w:r>
      <w:r>
        <w:t xml:space="preserve">to provide at least one stigma-related response.  While establishing a causal link between mental health and benefits stigma is problematic </w:t>
      </w:r>
      <w:r>
        <w:fldChar w:fldCharType="begin"/>
      </w:r>
      <w:r>
        <w:instrText xml:space="preserve"> ADDIN EN.CITE &lt;EndNote&gt;&lt;Cite&gt;&lt;Author&gt;Lee&lt;/Author&gt;&lt;Year&gt;2007&lt;/Year&gt;&lt;RecNum&gt;376&lt;/RecNum&gt;&lt;Prefix&gt;the strongest study is &lt;/Prefix&gt;&lt;Suffix&gt;`, who found weak`, non-significant effects&lt;/Suffix&gt;&lt;DisplayText&gt;(the strongest study is Lee and Oguzoglu, 2007, who found weak, non-significant effects)&lt;/DisplayText&gt;&lt;record&gt;&lt;rec-number&gt;376&lt;/rec-number&gt;&lt;foreign-keys&gt;&lt;key app="EN" db-id="5xatt0094rr92mepzaexd2xzx29appesae0a" timestamp="0"&gt;376&lt;/key&gt;&lt;/foreign-keys&gt;&lt;ref-type name="Journal Article"&gt;17&lt;/ref-type&gt;&lt;contributors&gt;&lt;authors&gt;&lt;author&gt;Wang-Sheng Lee&lt;/author&gt;&lt;author&gt;Umut Oguzoglu&lt;/author&gt;&lt;/authors&gt;&lt;/contributors&gt;&lt;titles&gt;&lt;title&gt;Income Support and Stigma Effects for Young Australians&lt;/title&gt;&lt;secondary-title&gt;Australian Economic Review&lt;/secondary-title&gt;&lt;/titles&gt;&lt;periodical&gt;&lt;full-title&gt;Australian Economic Review&lt;/full-title&gt;&lt;/periodical&gt;&lt;pages&gt;369-384&lt;/pages&gt;&lt;volume&gt;40&lt;/volume&gt;&lt;number&gt;4&lt;/number&gt;&lt;dates&gt;&lt;year&gt;2007&lt;/year&gt;&lt;/dates&gt;&lt;urls&gt;&lt;/urls&gt;&lt;electronic-resource-num&gt;10.1111/j.1467-8462.2007.00477.x&lt;/electronic-resource-num&gt;&lt;/record&gt;&lt;/Cite&gt;&lt;/EndNote&gt;</w:instrText>
      </w:r>
      <w:r>
        <w:fldChar w:fldCharType="separate"/>
      </w:r>
      <w:r>
        <w:rPr>
          <w:noProof/>
        </w:rPr>
        <w:t>(the strongest study is Lee and Oguzoglu, 2007, who found weak, non-significant effects)</w:t>
      </w:r>
      <w:r>
        <w:fldChar w:fldCharType="end"/>
      </w:r>
      <w:r>
        <w:t xml:space="preserve">, the fact that </w:t>
      </w:r>
      <w:r w:rsidR="008A1F22">
        <w:t xml:space="preserve">one-third of claimants report personal stigma and/or stigmatisation, and 23% of claimants report a shame-related reason for delaying their claim in the past, is potentially </w:t>
      </w:r>
      <w:r>
        <w:t>concerning.</w:t>
      </w:r>
    </w:p>
    <w:p w14:paraId="34F85E9F" w14:textId="77777777" w:rsidR="007721E9" w:rsidRDefault="007721E9" w:rsidP="00A51781"/>
    <w:p w14:paraId="3752BB66" w14:textId="213C96BD" w:rsidR="007721E9" w:rsidRPr="0057783F" w:rsidRDefault="007721E9" w:rsidP="00A51781">
      <w:r>
        <w:t xml:space="preserve">Finally, our study is the first to directly test whether benefits stigma is systematically lower in high-claim neighbourhoods, as the ‘dependency culture’ hypothesis predicts.  Put simply, our results offer little support for this, fitting the results from qualitative research and survey studies of attitudes to work.  Respondents in high-claim areas are less likely to say that </w:t>
      </w:r>
      <w:r w:rsidR="002F6954">
        <w:t>personal shame</w:t>
      </w:r>
      <w:r>
        <w:t xml:space="preserve"> would influence their decision to claim, but more likely to report </w:t>
      </w:r>
      <w:r w:rsidR="002F6954">
        <w:t xml:space="preserve">personal </w:t>
      </w:r>
      <w:r>
        <w:t xml:space="preserve">stigma (and after adjustment, also stigmatisation).  Overall, respondents in high-claim areas were </w:t>
      </w:r>
      <w:r>
        <w:rPr>
          <w:i/>
        </w:rPr>
        <w:t xml:space="preserve">more </w:t>
      </w:r>
      <w:r>
        <w:t>likely to report a stigma-related response, both before and after controlling for a variety of other socioeconomic factors.  People’s decisions to claim benefits may be influenced by those around them, but this does not mean that claims are less stigmatised in high-claims area.</w:t>
      </w:r>
    </w:p>
    <w:p w14:paraId="647C52C4" w14:textId="77777777" w:rsidR="007721E9" w:rsidRDefault="007721E9" w:rsidP="00B1335E">
      <w:pPr>
        <w:pStyle w:val="Heading3"/>
      </w:pPr>
      <w:r>
        <w:t>Recommendations for future research</w:t>
      </w:r>
    </w:p>
    <w:p w14:paraId="40F126FC" w14:textId="4A98C75A" w:rsidR="007721E9" w:rsidRDefault="007721E9" w:rsidP="00B1335E">
      <w:r>
        <w:t>While the Ipsos MORI benefit stigma survey has a number of strengths (e.g. operationalising sub-types of stigma, claimant boost samples) – and is available for other researchers to re-use – it also has several limitations.  Some of these apply to all such surveys: for example, we are dependent upon self-reports of stigma, and these will be underestimates to the extent that it is stigmatising for someone to say they feel stigma.  The quota sample may also have greater biases than a full random sample, although the careful design of the quota minimises this, and non-response biases will exist to varying degrees in all surveys</w:t>
      </w:r>
      <w:r w:rsidR="008A1F22">
        <w:t xml:space="preserve">.  </w:t>
      </w:r>
    </w:p>
    <w:p w14:paraId="34E8C252" w14:textId="77777777" w:rsidR="007721E9" w:rsidRDefault="007721E9" w:rsidP="00B1335E"/>
    <w:p w14:paraId="108016AD" w14:textId="2E77CFB3" w:rsidR="007721E9" w:rsidRPr="00B1335E" w:rsidRDefault="007721E9" w:rsidP="00B1335E">
      <w:r>
        <w:t xml:space="preserve">Our experiences also suggest several improvements for future surveys.  The prevalence of </w:t>
      </w:r>
      <w:r w:rsidR="002F6954">
        <w:t xml:space="preserve">personal </w:t>
      </w:r>
      <w:r>
        <w:t xml:space="preserve">stigma and stigmatisation in this survey are lower than previous surveys, which </w:t>
      </w:r>
      <w:r w:rsidR="008A1F22">
        <w:t xml:space="preserve">may </w:t>
      </w:r>
      <w:r>
        <w:t xml:space="preserve">be because the present study asked about feeling ‘ashamed’, whereas previous studies asked about feelings </w:t>
      </w:r>
      <w:r w:rsidR="00B955E9">
        <w:t xml:space="preserve">that are both weaker and less stigmatising to admit </w:t>
      </w:r>
      <w:r>
        <w:t xml:space="preserve">(e.g. feeling ‘embarrassed’, ‘looked down on’, or a lack of ‘respect’).  While this was a deliberate choice – shame </w:t>
      </w:r>
      <w:r w:rsidR="00B955E9">
        <w:t xml:space="preserve">has been the focus of recent scholarship and </w:t>
      </w:r>
      <w:r>
        <w:lastRenderedPageBreak/>
        <w:t xml:space="preserve">is more policy-relevant – future surveys could capture both by allowing respondents to respond that (i) claimants should feel ashamed; (ii) claimants should feel embarrassed but not ashamed; or (iii) claimants should not feel embarrassed.  It would also be helpful to make questions on claims stigma speak about ‘shame’ rather than ‘respect’, to make them comparable to questions on </w:t>
      </w:r>
      <w:r w:rsidR="002F6954">
        <w:t xml:space="preserve">personal </w:t>
      </w:r>
      <w:r>
        <w:t>stigma/stigmatisation.</w:t>
      </w:r>
    </w:p>
    <w:p w14:paraId="15137FD1" w14:textId="77777777" w:rsidR="007721E9" w:rsidRDefault="007721E9" w:rsidP="00A51781"/>
    <w:p w14:paraId="3E6BCB31" w14:textId="593070AB" w:rsidR="007721E9" w:rsidRDefault="007721E9" w:rsidP="00A51781">
      <w:r w:rsidRPr="00DE3F3E">
        <w:t xml:space="preserve">Our most surprising finding was the relatively small differences </w:t>
      </w:r>
      <w:r>
        <w:t xml:space="preserve">between the </w:t>
      </w:r>
      <w:r w:rsidRPr="00DE3F3E">
        <w:t>different benefits (much as these small differences were sometimes statistically significant)</w:t>
      </w:r>
      <w:r>
        <w:t xml:space="preserve">, given that </w:t>
      </w:r>
      <w:r w:rsidRPr="00DE3F3E">
        <w:t xml:space="preserve">previous </w:t>
      </w:r>
      <w:r>
        <w:t>studies have fund considerable variation.</w:t>
      </w:r>
      <w:r w:rsidRPr="00DE3F3E">
        <w:t xml:space="preserve"> </w:t>
      </w:r>
      <w:r>
        <w:t xml:space="preserve"> One explanation is that the benefits involved – with the exception of tax credits (see below) – are similarly stigmatised because of their similar principles </w:t>
      </w:r>
      <w:r w:rsidRPr="00DE3F3E">
        <w:t>(predominantly needs-based benefits for the working-age population) and delivery</w:t>
      </w:r>
      <w:r>
        <w:t xml:space="preserve"> (via DWP).  Another explanation, however, is that many respondents interpreted the questions as about ‘deserving’ claims, and the stigma differences across these types of benefit are primarily about how far claimants are seen as deserving.  One way of exploring this would be to ask explicitly about the stigma of deserving claims, and then to separately ask about the share of claimants that are seen to be deserving. </w:t>
      </w:r>
    </w:p>
    <w:p w14:paraId="5E7245BA" w14:textId="77777777" w:rsidR="007721E9" w:rsidRDefault="007721E9" w:rsidP="00A51781"/>
    <w:p w14:paraId="08CDE90D" w14:textId="50CACF5C" w:rsidR="007721E9" w:rsidRDefault="007721E9" w:rsidP="00C13082">
      <w:r>
        <w:t xml:space="preserve">This raises a broader question: given the close link between stigma and deservingness, to what extent is it useful to study benefits stigma directly?  Deservingness is a critical component of support for the benefits system </w:t>
      </w:r>
      <w:r>
        <w:fldChar w:fldCharType="begin"/>
      </w:r>
      <w:r>
        <w:instrText xml:space="preserve"> ADDIN EN.CITE &lt;EndNote&gt;&lt;Cite&gt;&lt;Author&gt;van Oorschot&lt;/Author&gt;&lt;Year&gt;2000&lt;/Year&gt;&lt;RecNum&gt;168&lt;/RecNum&gt;&lt;DisplayText&gt;(van Oorschot, 2000)&lt;/DisplayText&gt;&lt;record&gt;&lt;rec-number&gt;168&lt;/rec-number&gt;&lt;foreign-keys&gt;&lt;key app="EN" db-id="5xatt0094rr92mepzaexd2xzx29appesae0a" timestamp="0"&gt;168&lt;/key&gt;&lt;/foreign-keys&gt;&lt;ref-type name="Journal Article"&gt;17&lt;/ref-type&gt;&lt;contributors&gt;&lt;authors&gt;&lt;author&gt;van Oorschot,Wim&lt;/author&gt;&lt;/authors&gt;&lt;/contributors&gt;&lt;titles&gt;&lt;title&gt;Who should get what, and why?  On deservingness criteria and the conditionality of solidarity among the public&lt;/title&gt;&lt;secondary-title&gt;Policy &amp;amp; Politics&lt;/secondary-title&gt;&lt;/titles&gt;&lt;periodical&gt;&lt;full-title&gt;Policy &amp;amp; Politics&lt;/full-title&gt;&lt;/periodical&gt;&lt;pages&gt;33-48&lt;/pages&gt;&lt;volume&gt;28&lt;/volume&gt;&lt;number&gt;1&lt;/number&gt;&lt;dates&gt;&lt;year&gt;2000&lt;/year&gt;&lt;/dates&gt;&lt;urls&gt;&lt;/urls&gt;&lt;/record&gt;&lt;/Cite&gt;&lt;/EndNote&gt;</w:instrText>
      </w:r>
      <w:r>
        <w:fldChar w:fldCharType="separate"/>
      </w:r>
      <w:r>
        <w:rPr>
          <w:noProof/>
        </w:rPr>
        <w:t>(van Oorschot, 2000)</w:t>
      </w:r>
      <w:r>
        <w:fldChar w:fldCharType="end"/>
      </w:r>
      <w:r>
        <w:t xml:space="preserve">, and benefits policy therefore needs to carefully consider its impacts on deservingness perceptions </w:t>
      </w:r>
      <w:r w:rsidR="00D975D6">
        <w:fldChar w:fldCharType="begin"/>
      </w:r>
      <w:r w:rsidR="00D975D6">
        <w:instrText xml:space="preserve"> ADDIN EN.CITE &lt;EndNote&gt;&lt;Cite&gt;&lt;Author&gt;Baumberg&lt;/Author&gt;&lt;Year&gt;2012&lt;/Year&gt;&lt;RecNum&gt;356&lt;/RecNum&gt;&lt;DisplayText&gt;(Baumberg, 2012)&lt;/DisplayText&gt;&lt;record&gt;&lt;rec-number&gt;356&lt;/rec-number&gt;&lt;foreign-keys&gt;&lt;key app="EN" db-id="5xatt0094rr92mepzaexd2xzx29appesae0a" timestamp="0"&gt;356&lt;/key&gt;&lt;/foreign-keys&gt;&lt;ref-type name="Journal Article"&gt;17&lt;/ref-type&gt;&lt;contributors&gt;&lt;authors&gt;&lt;author&gt;Baumberg,B&lt;/author&gt;&lt;/authors&gt;&lt;/contributors&gt;&lt;titles&gt;&lt;title&gt;Three ways to defend social security in Britain&lt;/title&gt;&lt;secondary-title&gt;Journal of Poverty and Social Justice&lt;/secondary-title&gt;&lt;/titles&gt;&lt;periodical&gt;&lt;full-title&gt;Journal of Poverty and Social Justice&lt;/full-title&gt;&lt;/periodical&gt;&lt;pages&gt;149-161&lt;/pages&gt;&lt;volume&gt;20&lt;/volume&gt;&lt;number&gt;2&lt;/number&gt;&lt;dates&gt;&lt;year&gt;2012&lt;/year&gt;&lt;/dates&gt;&lt;urls&gt;&lt;/urls&gt;&lt;electronic-resource-num&gt;http://dx.doi.org/10.1332/175982712X652050&lt;/electronic-resource-num&gt;&lt;/record&gt;&lt;/Cite&gt;&lt;/EndNote&gt;</w:instrText>
      </w:r>
      <w:r w:rsidR="00D975D6">
        <w:fldChar w:fldCharType="separate"/>
      </w:r>
      <w:r w:rsidR="00D975D6">
        <w:rPr>
          <w:noProof/>
        </w:rPr>
        <w:t>(Baumberg, 2012)</w:t>
      </w:r>
      <w:r w:rsidR="00D975D6">
        <w:fldChar w:fldCharType="end"/>
      </w:r>
      <w:r>
        <w:t xml:space="preserve">.  Nevertheless, our view is that there is some value in examining stigma </w:t>
      </w:r>
      <w:r w:rsidR="008A1F22">
        <w:t>and shame</w:t>
      </w:r>
      <w:r>
        <w:t xml:space="preserve">.  Partly this is because </w:t>
      </w:r>
      <w:r w:rsidR="008A1F22">
        <w:t xml:space="preserve">shame </w:t>
      </w:r>
      <w:r>
        <w:t xml:space="preserve">is (by definition) a negative experience; even if many claimants deflect stigma onto others, </w:t>
      </w:r>
      <w:r w:rsidR="008A1F22">
        <w:t xml:space="preserve">shame </w:t>
      </w:r>
      <w:r>
        <w:t xml:space="preserve">is nonetheless a real aspect of a considerable minority of claimants’ experiences.  Furthermore, stigma is part of the explanation – contentious in size, but not in existence – for the non-take-up of benefits by those who are in need and eligible, allowing hardships that the system was designed to avoid. </w:t>
      </w:r>
    </w:p>
    <w:p w14:paraId="5A0D0C94" w14:textId="77777777" w:rsidR="007721E9" w:rsidRDefault="007721E9" w:rsidP="0000193A">
      <w:pPr>
        <w:pStyle w:val="Heading3"/>
      </w:pPr>
      <w:r>
        <w:t>Policy implications</w:t>
      </w:r>
    </w:p>
    <w:p w14:paraId="3D8139FA" w14:textId="3D01164C" w:rsidR="007721E9" w:rsidRPr="00AA4694" w:rsidRDefault="007721E9" w:rsidP="00BA7B36">
      <w:r>
        <w:t xml:space="preserve">This paper has concentrated on describing benefits stigma, rather than in investigating how to reduce it.  Nevertheless, other studies suggest three ways in which benefits stigma can be reduced.   Firstly, political and media rhetoric could become less stigmatising.  We have elsewhere examined the nature of media reporting of benefits in the UK, the role that politicians play within this, and how these might be changed </w:t>
      </w:r>
      <w:r w:rsidR="00D975D6">
        <w:fldChar w:fldCharType="begin"/>
      </w:r>
      <w:r w:rsidR="00D975D6">
        <w:instrText xml:space="preserve"> ADDIN EN.CITE &lt;EndNote&gt;&lt;Cite&gt;&lt;Author&gt;Baumberg&lt;/Author&gt;&lt;Year&gt;2012&lt;/Year&gt;&lt;RecNum&gt;415&lt;/RecNum&gt;&lt;DisplayText&gt;(Baumberg&lt;style face="italic"&gt; et al.&lt;/style&gt;, 2012)&lt;/DisplayText&gt;&lt;record&gt;&lt;rec-number&gt;415&lt;/rec-number&gt;&lt;foreign-keys&gt;&lt;key app="EN" db-id="5xatt0094rr92mepzaexd2xzx29appesae0a" timestamp="0"&gt;415&lt;/key&gt;&lt;/foreign-keys&gt;&lt;ref-type name="Report"&gt;27&lt;/ref-type&gt;&lt;contributors&gt;&lt;authors&gt;&lt;author&gt;Baumberg,B&lt;/author&gt;&lt;author&gt;Bell, Kate &lt;/author&gt;&lt;author&gt;Gaffney, Declan&lt;/author&gt;&lt;author&gt;with Deacon,R&lt;/author&gt;&lt;author&gt;Hood,Clancy&lt;/author&gt;&lt;author&gt;Daniel Sage&lt;/author&gt;&lt;/authors&gt;&lt;/contributors&gt;&lt;titles&gt;&lt;title&gt;Benefits stigma in Britain&lt;/title&gt;&lt;/titles&gt;&lt;dates&gt;&lt;year&gt;2012&lt;/year&gt;&lt;/dates&gt;&lt;pub-location&gt;London&lt;/pub-location&gt;&lt;publisher&gt;Elizabeth Finn Care/Turn2us&lt;/publisher&gt;&lt;urls&gt;&lt;related-urls&gt;&lt;url&gt;http://www.turn2us.org.uk/about_us/media_centre/news_archive/benefits_stigma.aspx&lt;/url&gt;&lt;/related-urls&gt;&lt;/urls&gt;&lt;/record&gt;&lt;/Cite&gt;&lt;/EndNote&gt;</w:instrText>
      </w:r>
      <w:r w:rsidR="00D975D6">
        <w:fldChar w:fldCharType="separate"/>
      </w:r>
      <w:r w:rsidR="00D975D6">
        <w:rPr>
          <w:noProof/>
        </w:rPr>
        <w:t>(Baumberg</w:t>
      </w:r>
      <w:r w:rsidR="00D975D6" w:rsidRPr="00D975D6">
        <w:rPr>
          <w:i/>
          <w:noProof/>
        </w:rPr>
        <w:t xml:space="preserve"> et al.</w:t>
      </w:r>
      <w:r w:rsidR="00D975D6">
        <w:rPr>
          <w:noProof/>
        </w:rPr>
        <w:t>, 2012)</w:t>
      </w:r>
      <w:r w:rsidR="00D975D6">
        <w:fldChar w:fldCharType="end"/>
      </w:r>
      <w:r>
        <w:t xml:space="preserve">.  Secondly, claims stigma could be reduced by making the operation of the benefits system can be more respectful.  We agree with e.g. the </w:t>
      </w:r>
      <w:r w:rsidRPr="00590835">
        <w:t xml:space="preserve">claimant-led Citizen's Commission on the Future of the Welfare State </w:t>
      </w:r>
      <w:r>
        <w:fldChar w:fldCharType="begin"/>
      </w:r>
      <w:r>
        <w:instrText xml:space="preserve"> ADDIN EN.CITE &lt;EndNote&gt;&lt;Cite ExcludeAuth="1"&gt;&lt;Author&gt;Citizen&amp;apos;s Commission on the Future of the Welfare State&lt;/Author&gt;&lt;Year&gt;1997&lt;/Year&gt;&lt;RecNum&gt;285&lt;/RecNum&gt;&lt;Suffix&gt;:119&lt;/Suffix&gt;&lt;DisplayText&gt;(1997:119)&lt;/DisplayText&gt;&lt;record&gt;&lt;rec-number&gt;285&lt;/rec-number&gt;&lt;foreign-keys&gt;&lt;key app="EN" db-id="5xatt0094rr92mepzaexd2xzx29appesae0a" timestamp="0"&gt;285&lt;/key&gt;&lt;/foreign-keys&gt;&lt;ref-type name="Report"&gt;27&lt;/ref-type&gt;&lt;contributors&gt;&lt;authors&gt;&lt;author&gt;Citizen&amp;apos;s Commission on the Future of the Welfare State,&lt;/author&gt;&lt;/authors&gt;&lt;/contributors&gt;&lt;titles&gt;&lt;title&gt;It&amp;apos;s our welfare: report of the Citizens&amp;apos; Commission on the Future of the Welfare State&lt;/title&gt;&lt;/titles&gt;&lt;dates&gt;&lt;year&gt;1997&lt;/year&gt;&lt;/dates&gt;&lt;pub-location&gt;London&lt;/pub-location&gt;&lt;publisher&gt;National Institute for Social Work on behalf of the Commission&lt;/publisher&gt;&lt;urls&gt;&lt;/urls&gt;&lt;custom1&gt;Read(LSE)&lt;/custom1&gt;&lt;/record&gt;&lt;/Cite&gt;&lt;/EndNote&gt;</w:instrText>
      </w:r>
      <w:r>
        <w:fldChar w:fldCharType="separate"/>
      </w:r>
      <w:r>
        <w:rPr>
          <w:noProof/>
        </w:rPr>
        <w:t>(1997:119)</w:t>
      </w:r>
      <w:r>
        <w:fldChar w:fldCharType="end"/>
      </w:r>
      <w:r>
        <w:t xml:space="preserve"> that benefits agency staff should be trained </w:t>
      </w:r>
      <w:r w:rsidRPr="00D127B0">
        <w:rPr>
          <w:i/>
        </w:rPr>
        <w:t>“to ensure that service users are treated positively, sympathetically and with respect, without stigma or hostility”</w:t>
      </w:r>
      <w:r>
        <w:t xml:space="preserve">, and that whenever claimants are asked to commit to </w:t>
      </w:r>
      <w:r>
        <w:lastRenderedPageBreak/>
        <w:t xml:space="preserve">perform certain activities, personal advisors likewise sign a commitment to offer certain levels of support.  Where claimants feel a greater entitlement to support, we would expect stigma to fall </w:t>
      </w:r>
      <w:r>
        <w:fldChar w:fldCharType="begin"/>
      </w:r>
      <w:r>
        <w:instrText xml:space="preserve"> ADDIN EN.CITE &lt;EndNote&gt;&lt;Cite&gt;&lt;Author&gt;Gubrium&lt;/Author&gt;&lt;Year&gt;2014&lt;/Year&gt;&lt;RecNum&gt;555&lt;/RecNum&gt;&lt;DisplayText&gt;(Gubrium and Lødemel, 2014)&lt;/DisplayText&gt;&lt;record&gt;&lt;rec-number&gt;555&lt;/rec-number&gt;&lt;foreign-keys&gt;&lt;key app="EN" db-id="5xatt0094rr92mepzaexd2xzx29appesae0a" timestamp="1409235721"&gt;555&lt;/key&gt;&lt;/foreign-keys&gt;&lt;ref-type name="Book Section"&gt;5&lt;/ref-type&gt;&lt;contributors&gt;&lt;authors&gt;&lt;author&gt;Erika K Gubrium&lt;/author&gt;&lt;author&gt;Ivar Lødemel&lt;/author&gt;&lt;/authors&gt;&lt;secondary-authors&gt;&lt;author&gt;Erika K Gubrium&lt;/author&gt;&lt;author&gt;Sony Pellissery&lt;/author&gt;&lt;author&gt;Ivar Lødemel&lt;/author&gt;&lt;/secondary-authors&gt;&lt;/contributors&gt;&lt;titles&gt;&lt;title&gt;Towards global priniples for dignity-based anti-poverty policies&lt;/title&gt;&lt;secondary-title&gt;The Shame Of It: global perspectives on anti-poverty policies&lt;/secondary-title&gt;&lt;/titles&gt;&lt;dates&gt;&lt;year&gt;2014&lt;/year&gt;&lt;/dates&gt;&lt;pub-location&gt;Bristol&lt;/pub-location&gt;&lt;publisher&gt;Policy Press&lt;/publisher&gt;&lt;urls&gt;&lt;/urls&gt;&lt;/record&gt;&lt;/Cite&gt;&lt;/EndNote&gt;</w:instrText>
      </w:r>
      <w:r>
        <w:fldChar w:fldCharType="separate"/>
      </w:r>
      <w:r>
        <w:rPr>
          <w:noProof/>
        </w:rPr>
        <w:t>(Gubrium and Lødemel, 2014)</w:t>
      </w:r>
      <w:r>
        <w:fldChar w:fldCharType="end"/>
      </w:r>
      <w:r>
        <w:t>.</w:t>
      </w:r>
    </w:p>
    <w:p w14:paraId="32A535B8" w14:textId="77777777" w:rsidR="007721E9" w:rsidRDefault="007721E9" w:rsidP="00A51781"/>
    <w:p w14:paraId="40F2CB14" w14:textId="09F6D71B" w:rsidR="00BA7B36" w:rsidRDefault="007721E9" w:rsidP="00BA7B36">
      <w:r>
        <w:t xml:space="preserve">The third way of reducing stigma is perhaps the closest to the traditional heart of social policy: to change the structure of the benefits system.   Britain has seen several deliberate attempts to create less-stigmatising benefits; 1960s research convinced Labour to replace the stigmatised ‘National Assistance’ with ‘Supplementary Benefits’ </w:t>
      </w:r>
      <w:r>
        <w:fldChar w:fldCharType="begin"/>
      </w:r>
      <w:r>
        <w:instrText xml:space="preserve"> ADDIN EN.CITE &lt;EndNote&gt;&lt;Cite&gt;&lt;Author&gt;Page&lt;/Author&gt;&lt;Year&gt;1984&lt;/Year&gt;&lt;RecNum&gt;277&lt;/RecNum&gt;&lt;Prefix&gt;according to &lt;/Prefix&gt;&lt;Suffix&gt;:44&lt;/Suffix&gt;&lt;DisplayText&gt;(according to Page, 1984:44)&lt;/DisplayText&gt;&lt;record&gt;&lt;rec-number&gt;277&lt;/rec-number&gt;&lt;foreign-keys&gt;&lt;key app="EN" db-id="5xatt0094rr92mepzaexd2xzx29appesae0a" timestamp="0"&gt;277&lt;/key&gt;&lt;/foreign-keys&gt;&lt;ref-type name="Book"&gt;6&lt;/ref-type&gt;&lt;contributors&gt;&lt;authors&gt;&lt;author&gt;Page,Robert&lt;/author&gt;&lt;/authors&gt;&lt;/contributors&gt;&lt;titles&gt;&lt;title&gt;Stigma&lt;/title&gt;&lt;/titles&gt;&lt;dates&gt;&lt;year&gt;1984&lt;/year&gt;&lt;/dates&gt;&lt;pub-location&gt;London&lt;/pub-location&gt;&lt;publisher&gt;Routledge &amp;amp; Kegan Paul&lt;/publisher&gt;&lt;urls&gt;&lt;/urls&gt;&lt;/record&gt;&lt;/Cite&gt;&lt;/EndNote&gt;</w:instrText>
      </w:r>
      <w:r>
        <w:fldChar w:fldCharType="separate"/>
      </w:r>
      <w:r>
        <w:rPr>
          <w:noProof/>
        </w:rPr>
        <w:t>(according to Page, 1984:44)</w:t>
      </w:r>
      <w:r>
        <w:fldChar w:fldCharType="end"/>
      </w:r>
      <w:r>
        <w:t xml:space="preserve">, while tax credits in the 1990s were explicitly designed to – and appear to have succeeded in – lowering stigma </w:t>
      </w:r>
      <w:r>
        <w:fldChar w:fldCharType="begin"/>
      </w:r>
      <w:r>
        <w:instrText xml:space="preserve"> ADDIN EN.CITE &lt;EndNote&gt;&lt;Cite&gt;&lt;Author&gt;Breese&lt;/Author&gt;&lt;Year&gt;2011&lt;/Year&gt;&lt;RecNum&gt;362&lt;/RecNum&gt;&lt;Prefix&gt;see also &lt;/Prefix&gt;&lt;DisplayText&gt;(see also Breese, 2011)&lt;/DisplayText&gt;&lt;record&gt;&lt;rec-number&gt;362&lt;/rec-number&gt;&lt;foreign-keys&gt;&lt;key app="EN" db-id="5xatt0094rr92mepzaexd2xzx29appesae0a" timestamp="0"&gt;362&lt;/key&gt;&lt;/foreign-keys&gt;&lt;ref-type name="Report"&gt;27&lt;/ref-type&gt;&lt;contributors&gt;&lt;authors&gt;&lt;author&gt;Helen Breese&lt;/author&gt;&lt;/authors&gt;&lt;/contributors&gt;&lt;titles&gt;&lt;title&gt;Views on eligibility for tax credits and Child Benefit and any stigma associated with claiming these&lt;/title&gt;&lt;secondary-title&gt;HM Revenue and Customs Research Report Number 150&lt;/secondary-title&gt;&lt;/titles&gt;&lt;dates&gt;&lt;year&gt;2011&lt;/year&gt;&lt;/dates&gt;&lt;pub-location&gt;London&lt;/pub-location&gt;&lt;publisher&gt;HMRC&lt;/publisher&gt;&lt;urls&gt;&lt;related-urls&gt;&lt;url&gt;http://www.revenuebenefits.org.uk/pdf/Views_on_eligibility_for_tax_credits_and_Child_Benefit_and_any_stigma_associated_with_claiming_these.pdf&lt;/url&gt;&lt;/related-urls&gt;&lt;/urls&gt;&lt;/record&gt;&lt;/Cite&gt;&lt;/EndNote&gt;</w:instrText>
      </w:r>
      <w:r>
        <w:fldChar w:fldCharType="separate"/>
      </w:r>
      <w:r>
        <w:rPr>
          <w:noProof/>
        </w:rPr>
        <w:t>(see also Breese, 2011)</w:t>
      </w:r>
      <w:r>
        <w:fldChar w:fldCharType="end"/>
      </w:r>
      <w:r>
        <w:t xml:space="preserve">. </w:t>
      </w:r>
      <w:r w:rsidR="00BA7B36">
        <w:t xml:space="preserve"> In general, we would expect less universal, less contributions-based, less generous, and more conditional benefits to be more stigmatised </w:t>
      </w:r>
      <w:r w:rsidR="00BA7B36">
        <w:fldChar w:fldCharType="begin"/>
      </w:r>
      <w:r w:rsidR="00BA7B36">
        <w:instrText xml:space="preserve"> ADDIN EN.CITE &lt;EndNote&gt;&lt;Cite&gt;&lt;Author&gt;Albrekt Larsen&lt;/Author&gt;&lt;Year&gt;2006&lt;/Year&gt;&lt;RecNum&gt;288&lt;/RecNum&gt;&lt;DisplayText&gt;(Albrekt Larsen, 2006)&lt;/DisplayText&gt;&lt;record&gt;&lt;rec-number&gt;288&lt;/rec-number&gt;&lt;foreign-keys&gt;&lt;key app="EN" db-id="5xatt0094rr92mepzaexd2xzx29appesae0a" timestamp="0"&gt;288&lt;/key&gt;&lt;/foreign-keys&gt;&lt;ref-type name="Book"&gt;6&lt;/ref-type&gt;&lt;contributors&gt;&lt;authors&gt;&lt;author&gt;Albrekt Larsen, Christian&lt;/author&gt;&lt;/authors&gt;&lt;/contributors&gt;&lt;titles&gt;&lt;title&gt;The institutional logic of welfare attitudes: how welfare regimes influence public support &lt;/title&gt;&lt;/titles&gt;&lt;dates&gt;&lt;year&gt;2006&lt;/year&gt;&lt;/dates&gt;&lt;pub-location&gt;Aldershot&lt;/pub-location&gt;&lt;publisher&gt;Ashgate&lt;/publisher&gt;&lt;urls&gt;&lt;/urls&gt;&lt;/record&gt;&lt;/Cite&gt;&lt;/EndNote&gt;</w:instrText>
      </w:r>
      <w:r w:rsidR="00BA7B36">
        <w:fldChar w:fldCharType="separate"/>
      </w:r>
      <w:r w:rsidR="00BA7B36">
        <w:rPr>
          <w:noProof/>
        </w:rPr>
        <w:t>(Albrekt Larsen, 2006)</w:t>
      </w:r>
      <w:r w:rsidR="00BA7B36">
        <w:fldChar w:fldCharType="end"/>
      </w:r>
      <w:r w:rsidR="00BA7B36">
        <w:t xml:space="preserve">, with global studies of shame providing some support for this </w:t>
      </w:r>
      <w:r w:rsidR="00BA7B36">
        <w:fldChar w:fldCharType="begin"/>
      </w:r>
      <w:r w:rsidR="00BA7B36">
        <w:instrText xml:space="preserve"> ADDIN EN.CITE &lt;EndNote&gt;&lt;Cite&gt;&lt;Author&gt;Gubrium&lt;/Author&gt;&lt;Year&gt;2014&lt;/Year&gt;&lt;RecNum&gt;555&lt;/RecNum&gt;&lt;DisplayText&gt;(Gubrium and Lødemel, 2014)&lt;/DisplayText&gt;&lt;record&gt;&lt;rec-number&gt;555&lt;/rec-number&gt;&lt;foreign-keys&gt;&lt;key app="EN" db-id="5xatt0094rr92mepzaexd2xzx29appesae0a" timestamp="1409235721"&gt;555&lt;/key&gt;&lt;/foreign-keys&gt;&lt;ref-type name="Book Section"&gt;5&lt;/ref-type&gt;&lt;contributors&gt;&lt;authors&gt;&lt;author&gt;Erika K Gubrium&lt;/author&gt;&lt;author&gt;Ivar Lødemel&lt;/author&gt;&lt;/authors&gt;&lt;secondary-authors&gt;&lt;author&gt;Erika K Gubrium&lt;/author&gt;&lt;author&gt;Sony Pellissery&lt;/author&gt;&lt;author&gt;Ivar Lødemel&lt;/author&gt;&lt;/secondary-authors&gt;&lt;/contributors&gt;&lt;titles&gt;&lt;title&gt;Towards global priniples for dignity-based anti-poverty policies&lt;/title&gt;&lt;secondary-title&gt;The Shame Of It: global perspectives on anti-poverty policies&lt;/secondary-title&gt;&lt;/titles&gt;&lt;dates&gt;&lt;year&gt;2014&lt;/year&gt;&lt;/dates&gt;&lt;pub-location&gt;Bristol&lt;/pub-location&gt;&lt;publisher&gt;Policy Press&lt;/publisher&gt;&lt;urls&gt;&lt;/urls&gt;&lt;/record&gt;&lt;/Cite&gt;&lt;/EndNote&gt;</w:instrText>
      </w:r>
      <w:r w:rsidR="00BA7B36">
        <w:fldChar w:fldCharType="separate"/>
      </w:r>
      <w:r w:rsidR="00BA7B36">
        <w:rPr>
          <w:noProof/>
        </w:rPr>
        <w:t>(Gubrium and Lødemel, 2014)</w:t>
      </w:r>
      <w:r w:rsidR="00BA7B36">
        <w:fldChar w:fldCharType="end"/>
      </w:r>
      <w:r w:rsidR="00BA7B36">
        <w:t xml:space="preserve">. As </w:t>
      </w:r>
      <w:r w:rsidR="00BA7B36" w:rsidRPr="00B671AD">
        <w:t xml:space="preserve">Richard Titmuss </w:t>
      </w:r>
      <w:r w:rsidR="00BA7B36">
        <w:t xml:space="preserve">put it in </w:t>
      </w:r>
      <w:r w:rsidR="00BA7B36">
        <w:rPr>
          <w:i/>
        </w:rPr>
        <w:t xml:space="preserve">Commitment to </w:t>
      </w:r>
      <w:r w:rsidR="00BA7B36" w:rsidRPr="00B671AD">
        <w:rPr>
          <w:i/>
        </w:rPr>
        <w:t>Welfare</w:t>
      </w:r>
      <w:r w:rsidR="00BA7B36">
        <w:rPr>
          <w:i/>
        </w:rPr>
        <w:t xml:space="preserve"> </w:t>
      </w:r>
      <w:r w:rsidR="00BA7B36">
        <w:fldChar w:fldCharType="begin"/>
      </w:r>
      <w:r w:rsidR="00BA7B36">
        <w:instrText xml:space="preserve"> ADDIN EN.CITE &lt;EndNote&gt;&lt;Cite ExcludeAuth="1"&gt;&lt;Author&gt;Titmuss&lt;/Author&gt;&lt;Year&gt;1968&lt;/Year&gt;&lt;RecNum&gt;202&lt;/RecNum&gt;&lt;Suffix&gt;:135&lt;/Suffix&gt;&lt;DisplayText&gt;(1968:135)&lt;/DisplayText&gt;&lt;record&gt;&lt;rec-number&gt;202&lt;/rec-number&gt;&lt;foreign-keys&gt;&lt;key app="EN" db-id="5xatt0094rr92mepzaexd2xzx29appesae0a" timestamp="0"&gt;202&lt;/key&gt;&lt;/foreign-keys&gt;&lt;ref-type name="Book"&gt;6&lt;/ref-type&gt;&lt;contributors&gt;&lt;authors&gt;&lt;author&gt;Titmuss, R.&lt;/author&gt;&lt;/authors&gt;&lt;/contributors&gt;&lt;titles&gt;&lt;title&gt;Commitment to welfare&lt;/title&gt;&lt;/titles&gt;&lt;dates&gt;&lt;year&gt;1968&lt;/year&gt;&lt;/dates&gt;&lt;pub-location&gt;London&lt;/pub-location&gt;&lt;publisher&gt;Allen &amp;amp; Unwin&lt;/publisher&gt;&lt;urls&gt;&lt;/urls&gt;&lt;/record&gt;&lt;/Cite&gt;&lt;/EndNote&gt;</w:instrText>
      </w:r>
      <w:r w:rsidR="00BA7B36">
        <w:fldChar w:fldCharType="separate"/>
      </w:r>
      <w:r w:rsidR="00BA7B36">
        <w:rPr>
          <w:noProof/>
        </w:rPr>
        <w:t>(1968:135)</w:t>
      </w:r>
      <w:r w:rsidR="00BA7B36">
        <w:fldChar w:fldCharType="end"/>
      </w:r>
      <w:r w:rsidR="00BA7B36">
        <w:t xml:space="preserve">, </w:t>
      </w:r>
      <w:r w:rsidR="00BA7B36" w:rsidRPr="00B671AD">
        <w:t xml:space="preserve">the ‘fundamental challenge’ of social policy </w:t>
      </w:r>
      <w:r w:rsidR="00BA7B36">
        <w:t xml:space="preserve">is therefore </w:t>
      </w:r>
      <w:r w:rsidR="00BA7B36" w:rsidRPr="00B671AD">
        <w:t xml:space="preserve">to create a universal infrastructure around which selective provision can target services </w:t>
      </w:r>
      <w:r w:rsidR="00BA7B36" w:rsidRPr="00B671AD">
        <w:rPr>
          <w:i/>
        </w:rPr>
        <w:t>‘with the minimum risk of stigma in favour of those who needs are greatest’</w:t>
      </w:r>
      <w:r w:rsidR="00BA7B36">
        <w:t xml:space="preserve">. </w:t>
      </w:r>
    </w:p>
    <w:p w14:paraId="5E44EB60" w14:textId="77777777" w:rsidR="00844252" w:rsidRDefault="00844252" w:rsidP="00A51781"/>
    <w:p w14:paraId="3F684414" w14:textId="10F55BD2" w:rsidR="00AF1B2E" w:rsidRDefault="00FB7157" w:rsidP="00A51781">
      <w:r>
        <w:t xml:space="preserve">However, this paper’s main contribution is descriptive rather than prescriptive: to show that </w:t>
      </w:r>
      <w:r w:rsidR="00C13082">
        <w:t xml:space="preserve">sub-types of </w:t>
      </w:r>
      <w:r>
        <w:t xml:space="preserve">benefits stigma can be conceptualised and measured; that </w:t>
      </w:r>
      <w:r w:rsidR="00C13082">
        <w:t xml:space="preserve">stigma </w:t>
      </w:r>
      <w:r>
        <w:t xml:space="preserve">is reported by a considerable minority of claimants and non-claimants alike; </w:t>
      </w:r>
      <w:r w:rsidR="00C13082">
        <w:t xml:space="preserve">and </w:t>
      </w:r>
      <w:r>
        <w:t xml:space="preserve">that there is evidence against the idea that this overspills into a ‘dependency culture’.  </w:t>
      </w:r>
      <w:r w:rsidR="00C13082">
        <w:t>In this, it hopefully sheds new light on an old problem</w:t>
      </w:r>
      <w:r w:rsidR="00BE16E9">
        <w:t>, and provides a further academic grounding for policy debates that seem likely to recur for as long as we have a benefits system in the present form.</w:t>
      </w:r>
    </w:p>
    <w:p w14:paraId="00104849" w14:textId="77777777" w:rsidR="007721E9" w:rsidRDefault="007721E9">
      <w:pPr>
        <w:spacing w:after="160" w:line="259" w:lineRule="auto"/>
        <w:rPr>
          <w:rFonts w:asciiTheme="majorHAnsi" w:eastAsiaTheme="majorEastAsia" w:hAnsiTheme="majorHAnsi" w:cstheme="majorBidi"/>
          <w:color w:val="2E74B5" w:themeColor="accent1" w:themeShade="BF"/>
          <w:sz w:val="32"/>
          <w:szCs w:val="32"/>
        </w:rPr>
      </w:pPr>
      <w:r>
        <w:br w:type="page"/>
      </w:r>
    </w:p>
    <w:p w14:paraId="7C3D42A5" w14:textId="0C2EF240" w:rsidR="007721E9" w:rsidRDefault="007721E9" w:rsidP="007721E9">
      <w:pPr>
        <w:pStyle w:val="Heading1"/>
      </w:pPr>
      <w:r>
        <w:lastRenderedPageBreak/>
        <w:t>Notes</w:t>
      </w:r>
    </w:p>
    <w:p w14:paraId="4C664D13" w14:textId="77777777" w:rsidR="007721E9" w:rsidRDefault="007721E9" w:rsidP="007721E9">
      <w:pPr>
        <w:pStyle w:val="EndnoteText"/>
      </w:pPr>
      <w:r>
        <w:rPr>
          <w:rStyle w:val="EndnoteReference"/>
        </w:rPr>
        <w:footnoteRef/>
      </w:r>
      <w:r>
        <w:t xml:space="preserve"> </w:t>
      </w:r>
      <w:hyperlink r:id="rId12" w:history="1">
        <w:r w:rsidRPr="008C3A26">
          <w:rPr>
            <w:rStyle w:val="Hyperlink"/>
          </w:rPr>
          <w:t>http://blog.american.com/2009/11/stigma-makes-generosity-feasible/</w:t>
        </w:r>
      </w:hyperlink>
      <w:r>
        <w:t>, The American (blog of the</w:t>
      </w:r>
    </w:p>
    <w:p w14:paraId="0BA79F28" w14:textId="77777777" w:rsidR="007721E9" w:rsidRDefault="007721E9" w:rsidP="007721E9">
      <w:pPr>
        <w:pStyle w:val="EndnoteText"/>
      </w:pPr>
      <w:r>
        <w:t>American Enterprise Institute), Nov 30 2009.</w:t>
      </w:r>
    </w:p>
    <w:p w14:paraId="38917F6C" w14:textId="17676AEA" w:rsidR="007721E9" w:rsidRDefault="007721E9" w:rsidP="007721E9">
      <w:pPr>
        <w:pStyle w:val="EndnoteText"/>
      </w:pPr>
      <w:r>
        <w:rPr>
          <w:rStyle w:val="EndnoteReference"/>
        </w:rPr>
        <w:t>2</w:t>
      </w:r>
      <w:r>
        <w:t xml:space="preserve"> </w:t>
      </w:r>
      <w:hyperlink r:id="rId13" w:history="1">
        <w:r w:rsidRPr="008C3A26">
          <w:rPr>
            <w:rStyle w:val="Hyperlink"/>
          </w:rPr>
          <w:t>http://www.theguardian.com/society/2012/feb/05/benefit-cuts-fuelling-abuse-disabled-people</w:t>
        </w:r>
      </w:hyperlink>
      <w:r>
        <w:rPr>
          <w:rStyle w:val="Hyperlink"/>
        </w:rPr>
        <w:t xml:space="preserve"> </w:t>
      </w:r>
      <w:r>
        <w:t xml:space="preserve">, accessed 4/8/2014.  </w:t>
      </w:r>
    </w:p>
    <w:p w14:paraId="40D22D6C" w14:textId="6261D094" w:rsidR="007721E9" w:rsidRDefault="007721E9" w:rsidP="007721E9">
      <w:pPr>
        <w:pStyle w:val="EndnoteText"/>
      </w:pPr>
      <w:r>
        <w:rPr>
          <w:rStyle w:val="EndnoteReference"/>
        </w:rPr>
        <w:t>3</w:t>
      </w:r>
      <w:r>
        <w:t xml:space="preserve"> Claimants will often be subject to other associated stigmas such as unemployment and poverty; but while these are a crucial part of lived experience, they are not part of our focus here.</w:t>
      </w:r>
    </w:p>
    <w:p w14:paraId="5A25643F" w14:textId="65C8EBEA" w:rsidR="007721E9" w:rsidRDefault="007721E9" w:rsidP="007721E9">
      <w:pPr>
        <w:pStyle w:val="EndnoteText"/>
      </w:pPr>
      <w:r>
        <w:rPr>
          <w:rStyle w:val="EndnoteReference"/>
        </w:rPr>
        <w:t>4</w:t>
      </w:r>
      <w:r>
        <w:t xml:space="preserve"> Authors’ analysis of weighted data from British Social Attitudes survey 2000 (UK Data Archive </w:t>
      </w:r>
      <w:r w:rsidR="009F4F3E">
        <w:t>SN</w:t>
      </w:r>
      <w:r>
        <w:t>4486).</w:t>
      </w:r>
    </w:p>
    <w:p w14:paraId="6783A0D2" w14:textId="19C24337" w:rsidR="007721E9" w:rsidRDefault="007721E9" w:rsidP="007721E9">
      <w:pPr>
        <w:pStyle w:val="EndnoteText"/>
      </w:pPr>
      <w:r>
        <w:rPr>
          <w:rStyle w:val="EndnoteReference"/>
        </w:rPr>
        <w:t>5</w:t>
      </w:r>
      <w:r>
        <w:t xml:space="preserve"> For links to a number of headlines (and a critique of the statistics within them), see </w:t>
      </w:r>
      <w:hyperlink r:id="rId14" w:history="1">
        <w:r w:rsidRPr="00F52881">
          <w:rPr>
            <w:rStyle w:val="Hyperlink"/>
          </w:rPr>
          <w:t>http://lartsocial.org/jamesturnerstreet</w:t>
        </w:r>
      </w:hyperlink>
      <w:r>
        <w:t xml:space="preserve"> </w:t>
      </w:r>
    </w:p>
    <w:p w14:paraId="49735B03" w14:textId="77777777" w:rsidR="00FA0F79" w:rsidRDefault="00FA0F79" w:rsidP="00A51781"/>
    <w:p w14:paraId="485EFEBA" w14:textId="77777777" w:rsidR="00101485" w:rsidRDefault="00101485" w:rsidP="00A51781"/>
    <w:p w14:paraId="20BF8A0C" w14:textId="77777777" w:rsidR="002668D6" w:rsidRDefault="002668D6" w:rsidP="00A23845">
      <w:pPr>
        <w:sectPr w:rsidR="002668D6" w:rsidSect="00901C82">
          <w:type w:val="continuous"/>
          <w:pgSz w:w="11906" w:h="16838"/>
          <w:pgMar w:top="1440" w:right="1440" w:bottom="1440" w:left="1440" w:header="708" w:footer="708" w:gutter="0"/>
          <w:cols w:space="708"/>
          <w:docGrid w:linePitch="360"/>
        </w:sectPr>
      </w:pPr>
    </w:p>
    <w:p w14:paraId="768C6B09" w14:textId="77777777" w:rsidR="00C75157" w:rsidRDefault="00901C82" w:rsidP="00901C82">
      <w:pPr>
        <w:pStyle w:val="Heading1"/>
      </w:pPr>
      <w:r>
        <w:lastRenderedPageBreak/>
        <w:t>References</w:t>
      </w:r>
    </w:p>
    <w:p w14:paraId="034CDC30" w14:textId="4DE2329D" w:rsidR="00D975D6" w:rsidRPr="00D975D6" w:rsidRDefault="00C75157" w:rsidP="00D975D6">
      <w:pPr>
        <w:pStyle w:val="EndNoteBibliography"/>
        <w:ind w:left="720" w:hanging="720"/>
      </w:pPr>
      <w:r>
        <w:fldChar w:fldCharType="begin"/>
      </w:r>
      <w:r>
        <w:instrText xml:space="preserve"> ADDIN EN.REFLIST </w:instrText>
      </w:r>
      <w:r>
        <w:fldChar w:fldCharType="separate"/>
      </w:r>
      <w:r w:rsidR="00D975D6" w:rsidRPr="00D975D6">
        <w:t xml:space="preserve">Albrekt Larsen, C. (2006), </w:t>
      </w:r>
      <w:r w:rsidR="00D975D6" w:rsidRPr="00D975D6">
        <w:rPr>
          <w:i/>
        </w:rPr>
        <w:t xml:space="preserve">The institutional logic of welfare attitudes: how welfare regimes influence public support </w:t>
      </w:r>
      <w:r w:rsidR="00D975D6" w:rsidRPr="00D975D6">
        <w:t>Aldershot: Ashgate.</w:t>
      </w:r>
    </w:p>
    <w:p w14:paraId="1D82724A" w14:textId="77777777" w:rsidR="00D975D6" w:rsidRPr="00D975D6" w:rsidRDefault="00D975D6" w:rsidP="00D975D6">
      <w:pPr>
        <w:pStyle w:val="EndNoteBibliography"/>
        <w:ind w:left="720" w:hanging="720"/>
      </w:pPr>
      <w:r w:rsidRPr="00D975D6">
        <w:t xml:space="preserve">Baumberg, B. (2012), 'Three ways to defend social security in Britain', </w:t>
      </w:r>
      <w:r w:rsidRPr="00D975D6">
        <w:rPr>
          <w:i/>
        </w:rPr>
        <w:t>Journal of Poverty and Social Justice</w:t>
      </w:r>
      <w:r w:rsidRPr="00D975D6">
        <w:t>, 20: 2, 149-161.</w:t>
      </w:r>
    </w:p>
    <w:p w14:paraId="0433695F" w14:textId="77777777" w:rsidR="00D975D6" w:rsidRPr="00D975D6" w:rsidRDefault="00D975D6" w:rsidP="00D975D6">
      <w:pPr>
        <w:pStyle w:val="EndNoteBibliography"/>
        <w:ind w:left="720" w:hanging="720"/>
      </w:pPr>
      <w:r w:rsidRPr="00D975D6">
        <w:t>Baumberg, B., Bell, K., Gaffney, D., with Deacon, R., Hood, C. and Sage, D. (2012), Benefits stigma in Britain, London: Elizabeth Finn Care/Turn2us.</w:t>
      </w:r>
    </w:p>
    <w:p w14:paraId="5DB467CC" w14:textId="77777777" w:rsidR="00D975D6" w:rsidRPr="00D975D6" w:rsidRDefault="00D975D6" w:rsidP="00D975D6">
      <w:pPr>
        <w:pStyle w:val="EndNoteBibliography"/>
        <w:ind w:left="720" w:hanging="720"/>
      </w:pPr>
      <w:r w:rsidRPr="00D975D6">
        <w:t xml:space="preserve">Bertrand, M., Luttmer, E.F.P. and Mullainathan, S. (2000), 'Network Effects and Welfare Cultures', </w:t>
      </w:r>
      <w:r w:rsidRPr="00D975D6">
        <w:rPr>
          <w:i/>
        </w:rPr>
        <w:t>The Quarterly Journal of Economics</w:t>
      </w:r>
      <w:r w:rsidRPr="00D975D6">
        <w:t>, 115: 3, 1019-1055.</w:t>
      </w:r>
    </w:p>
    <w:p w14:paraId="09DBFF2F" w14:textId="77777777" w:rsidR="00D975D6" w:rsidRPr="00D975D6" w:rsidRDefault="00D975D6" w:rsidP="00D975D6">
      <w:pPr>
        <w:pStyle w:val="EndNoteBibliography"/>
        <w:ind w:left="720" w:hanging="720"/>
      </w:pPr>
      <w:r w:rsidRPr="00D975D6">
        <w:t xml:space="preserve">Besley, T. and Coate, S. (1992), 'Understanding welfare stigma: taxpayer resentment and statistical discrimination', </w:t>
      </w:r>
      <w:r w:rsidRPr="00D975D6">
        <w:rPr>
          <w:i/>
        </w:rPr>
        <w:t>Journal of Public Economics</w:t>
      </w:r>
      <w:r w:rsidRPr="00D975D6">
        <w:t>, 48, 165-183.</w:t>
      </w:r>
    </w:p>
    <w:p w14:paraId="0F121F5C" w14:textId="77777777" w:rsidR="00D975D6" w:rsidRPr="00D975D6" w:rsidRDefault="00D975D6" w:rsidP="00D975D6">
      <w:pPr>
        <w:pStyle w:val="EndNoteBibliography"/>
        <w:ind w:left="720" w:hanging="720"/>
      </w:pPr>
      <w:r w:rsidRPr="00D975D6">
        <w:t xml:space="preserve">Breese, H. (2011), Views on eligibility for tax credits and Child Benefit and any stigma associated with claiming these,  </w:t>
      </w:r>
      <w:r w:rsidRPr="00D975D6">
        <w:rPr>
          <w:i/>
        </w:rPr>
        <w:t>HM Revenue and Customs Research Report Number 150</w:t>
      </w:r>
      <w:r w:rsidRPr="00D975D6">
        <w:t>, London: HMRC.</w:t>
      </w:r>
    </w:p>
    <w:p w14:paraId="4DBFE254" w14:textId="77777777" w:rsidR="00D975D6" w:rsidRPr="00D975D6" w:rsidRDefault="00D975D6" w:rsidP="00D975D6">
      <w:pPr>
        <w:pStyle w:val="EndNoteBibliography"/>
        <w:ind w:left="720" w:hanging="720"/>
      </w:pPr>
      <w:r w:rsidRPr="00D975D6">
        <w:t xml:space="preserve">Chase, E. and Walker, R. (2013), 'The Co-construction of Shame in the Context of Poverty: Beyond a Threat to the Social Bond', </w:t>
      </w:r>
      <w:r w:rsidRPr="00D975D6">
        <w:rPr>
          <w:i/>
        </w:rPr>
        <w:t>Sociology</w:t>
      </w:r>
      <w:r w:rsidRPr="00D975D6">
        <w:t>, 47: 4, 739-754.</w:t>
      </w:r>
    </w:p>
    <w:p w14:paraId="175BFB94" w14:textId="77777777" w:rsidR="00D975D6" w:rsidRPr="00D975D6" w:rsidRDefault="00D975D6" w:rsidP="00D975D6">
      <w:pPr>
        <w:pStyle w:val="EndNoteBibliography"/>
        <w:ind w:left="720" w:hanging="720"/>
      </w:pPr>
      <w:r w:rsidRPr="00D975D6">
        <w:t>Citizen's Commission on the Future of the Welfare State (1997), It's our welfare: report of the Citizens' Commission on the Future of the Welfare State, London: National Institute for Social Work on behalf of the Commission.</w:t>
      </w:r>
    </w:p>
    <w:p w14:paraId="27D755E6" w14:textId="77777777" w:rsidR="00D975D6" w:rsidRPr="00D975D6" w:rsidRDefault="00D975D6" w:rsidP="00D975D6">
      <w:pPr>
        <w:pStyle w:val="EndNoteBibliography"/>
        <w:ind w:left="720" w:hanging="720"/>
      </w:pPr>
      <w:r w:rsidRPr="00D975D6">
        <w:t xml:space="preserve">Clark, A.E. (2003), 'Unemployment as a Social Norm: Psychological Evidence from Panel Data', </w:t>
      </w:r>
      <w:r w:rsidRPr="00D975D6">
        <w:rPr>
          <w:i/>
        </w:rPr>
        <w:t>Journal of Labor Economics</w:t>
      </w:r>
      <w:r w:rsidRPr="00D975D6">
        <w:t>, 21: 2, 323-351.</w:t>
      </w:r>
    </w:p>
    <w:p w14:paraId="28A77D9B" w14:textId="77777777" w:rsidR="00D975D6" w:rsidRPr="00D975D6" w:rsidRDefault="00D975D6" w:rsidP="00D975D6">
      <w:pPr>
        <w:pStyle w:val="EndNoteBibliography"/>
        <w:ind w:left="720" w:hanging="720"/>
      </w:pPr>
      <w:r w:rsidRPr="00D975D6">
        <w:t xml:space="preserve">Cox, I. (1968), 'Families on welfare in New York City', </w:t>
      </w:r>
      <w:r w:rsidRPr="00D975D6">
        <w:rPr>
          <w:i/>
        </w:rPr>
        <w:t>Welfare in Review</w:t>
      </w:r>
      <w:r w:rsidRPr="00D975D6">
        <w:t>, 6: 2, 22-26.</w:t>
      </w:r>
    </w:p>
    <w:p w14:paraId="545FB2B7" w14:textId="77777777" w:rsidR="00D975D6" w:rsidRPr="00D975D6" w:rsidRDefault="00D975D6" w:rsidP="00D975D6">
      <w:pPr>
        <w:pStyle w:val="EndNoteBibliography"/>
        <w:ind w:left="720" w:hanging="720"/>
      </w:pPr>
      <w:r w:rsidRPr="00D975D6">
        <w:t xml:space="preserve">Craig, P. (1991), 'Costs and benefits: a review of research on take-up of income-related benefits', </w:t>
      </w:r>
      <w:r w:rsidRPr="00D975D6">
        <w:rPr>
          <w:i/>
        </w:rPr>
        <w:t>Journal of Social Policy</w:t>
      </w:r>
      <w:r w:rsidRPr="00D975D6">
        <w:t>, 20: 4, 537-565.</w:t>
      </w:r>
    </w:p>
    <w:p w14:paraId="78A32B4A" w14:textId="77777777" w:rsidR="00D975D6" w:rsidRPr="00D975D6" w:rsidRDefault="00D975D6" w:rsidP="00D975D6">
      <w:pPr>
        <w:pStyle w:val="EndNoteBibliography"/>
        <w:ind w:left="720" w:hanging="720"/>
      </w:pPr>
      <w:r w:rsidRPr="00D975D6">
        <w:t xml:space="preserve">Daponte, B.O., Sanders, S. and Taylor, L. (1999), 'Why Do Low-Income Households not Use Food Stamps? Evidence from an Experiment', </w:t>
      </w:r>
      <w:r w:rsidRPr="00D975D6">
        <w:rPr>
          <w:i/>
        </w:rPr>
        <w:t>The Journal of Human Resources</w:t>
      </w:r>
      <w:r w:rsidRPr="00D975D6">
        <w:t>, 34: 3, 612-628.</w:t>
      </w:r>
    </w:p>
    <w:p w14:paraId="4ACB53AB" w14:textId="77777777" w:rsidR="00D975D6" w:rsidRPr="00D975D6" w:rsidRDefault="00D975D6" w:rsidP="00D975D6">
      <w:pPr>
        <w:pStyle w:val="EndNoteBibliography"/>
        <w:ind w:left="720" w:hanging="720"/>
      </w:pPr>
      <w:r w:rsidRPr="00D975D6">
        <w:t xml:space="preserve">Dean, H. and Taylor-Gooby, P. (1992), </w:t>
      </w:r>
      <w:r w:rsidRPr="00D975D6">
        <w:rPr>
          <w:i/>
        </w:rPr>
        <w:t>Dependency Culture: The Explosion of a Myth</w:t>
      </w:r>
      <w:r w:rsidRPr="00D975D6">
        <w:t>, Hemel Hempstead: Harvester Wheatsheef.</w:t>
      </w:r>
    </w:p>
    <w:p w14:paraId="52D97163" w14:textId="77777777" w:rsidR="00D975D6" w:rsidRPr="00D975D6" w:rsidRDefault="00D975D6" w:rsidP="00D975D6">
      <w:pPr>
        <w:pStyle w:val="EndNoteBibliography"/>
        <w:ind w:left="720" w:hanging="720"/>
      </w:pPr>
      <w:r w:rsidRPr="00D975D6">
        <w:t xml:space="preserve">Dunn, A. (2011), 'Only fools? Reconsidering the relationship between commitment to the work ethic and educational attainment', </w:t>
      </w:r>
      <w:r w:rsidRPr="00D975D6">
        <w:rPr>
          <w:i/>
        </w:rPr>
        <w:t>Journal of Education and Work</w:t>
      </w:r>
      <w:r w:rsidRPr="00D975D6">
        <w:t>, 26: 1, 1-20.</w:t>
      </w:r>
    </w:p>
    <w:p w14:paraId="7187AFC4" w14:textId="77777777" w:rsidR="00D975D6" w:rsidRPr="00D975D6" w:rsidRDefault="00D975D6" w:rsidP="00D975D6">
      <w:pPr>
        <w:pStyle w:val="EndNoteBibliography"/>
        <w:ind w:left="720" w:hanging="720"/>
      </w:pPr>
      <w:r w:rsidRPr="00D975D6">
        <w:t>Finn, D., Mason, D., Rahim, N. and Casebourne, J. (2008), Problems in the delivery of benefits, tax credits and employment services, York: Joseph Rowntree Foundation.</w:t>
      </w:r>
    </w:p>
    <w:p w14:paraId="22A16530" w14:textId="77777777" w:rsidR="00D975D6" w:rsidRPr="00D975D6" w:rsidRDefault="00D975D6" w:rsidP="00D975D6">
      <w:pPr>
        <w:pStyle w:val="EndNoteBibliography"/>
        <w:ind w:left="720" w:hanging="720"/>
      </w:pPr>
      <w:r w:rsidRPr="00D975D6">
        <w:t xml:space="preserve">Garthwaite, K. (2014), 'Fear of the Brown Envelope: Exploring Welfare Reform with Long-Term Sickness Benefits Recipients', </w:t>
      </w:r>
      <w:r w:rsidRPr="00D975D6">
        <w:rPr>
          <w:i/>
        </w:rPr>
        <w:t>Social Policy &amp; Administration</w:t>
      </w:r>
      <w:r w:rsidRPr="00D975D6">
        <w:t>, 48: 7, 782-798.</w:t>
      </w:r>
    </w:p>
    <w:p w14:paraId="6E82E79C" w14:textId="77777777" w:rsidR="00D975D6" w:rsidRPr="00D975D6" w:rsidRDefault="00D975D6" w:rsidP="00D975D6">
      <w:pPr>
        <w:pStyle w:val="EndNoteBibliography"/>
        <w:ind w:left="720" w:hanging="720"/>
      </w:pPr>
      <w:r w:rsidRPr="00D975D6">
        <w:t xml:space="preserve">Goffman, E. (1963), </w:t>
      </w:r>
      <w:r w:rsidRPr="00D975D6">
        <w:rPr>
          <w:i/>
        </w:rPr>
        <w:t>Stigma: Notes on the Management of Spoiled Identity</w:t>
      </w:r>
      <w:r w:rsidRPr="00D975D6">
        <w:t>, New York: Prentice-Hall.</w:t>
      </w:r>
    </w:p>
    <w:p w14:paraId="1B5A3734" w14:textId="77777777" w:rsidR="00D975D6" w:rsidRPr="00D975D6" w:rsidRDefault="00D975D6" w:rsidP="00D975D6">
      <w:pPr>
        <w:pStyle w:val="EndNoteBibliography"/>
        <w:ind w:left="720" w:hanging="720"/>
      </w:pPr>
      <w:r w:rsidRPr="00D975D6">
        <w:t xml:space="preserve">Golding, P. and Middleton, S. (1982), </w:t>
      </w:r>
      <w:r w:rsidRPr="00D975D6">
        <w:rPr>
          <w:i/>
        </w:rPr>
        <w:t>Images of welfare: press and public attitudes to welfare</w:t>
      </w:r>
      <w:r w:rsidRPr="00D975D6">
        <w:t>, Worcester: Billing &amp; Sons Limited.</w:t>
      </w:r>
    </w:p>
    <w:p w14:paraId="469B9BFE" w14:textId="77777777" w:rsidR="00D975D6" w:rsidRPr="00D975D6" w:rsidRDefault="00D975D6" w:rsidP="00D975D6">
      <w:pPr>
        <w:pStyle w:val="EndNoteBibliography"/>
        <w:ind w:left="720" w:hanging="720"/>
      </w:pPr>
      <w:r w:rsidRPr="00D975D6">
        <w:t xml:space="preserve">Gubrium, E.K. and Lødemel, I. (2014), 'Towards global priniples for dignity-based anti-poverty policies', in E. K. Gubrium, S. Pellissery and I. Lødemel (eds.), </w:t>
      </w:r>
      <w:r w:rsidRPr="00D975D6">
        <w:rPr>
          <w:i/>
        </w:rPr>
        <w:t>The Shame Of It: global perspectives on anti-poverty policies</w:t>
      </w:r>
      <w:r w:rsidRPr="00D975D6">
        <w:t>, Bristol: Policy Press.</w:t>
      </w:r>
    </w:p>
    <w:p w14:paraId="612E3796" w14:textId="77777777" w:rsidR="00D975D6" w:rsidRPr="00D975D6" w:rsidRDefault="00D975D6" w:rsidP="00D975D6">
      <w:pPr>
        <w:pStyle w:val="EndNoteBibliography"/>
        <w:ind w:left="720" w:hanging="720"/>
      </w:pPr>
      <w:r w:rsidRPr="00D975D6">
        <w:t xml:space="preserve">Handler, J.F. and Hollingsworth, E.J. (1969), 'Stigma, privacy and other attitudes of welfare recipients', </w:t>
      </w:r>
      <w:r w:rsidRPr="00D975D6">
        <w:rPr>
          <w:i/>
        </w:rPr>
        <w:t>Stanford Law Review</w:t>
      </w:r>
      <w:r w:rsidRPr="00D975D6">
        <w:t>, 22: 1, 1-19.</w:t>
      </w:r>
    </w:p>
    <w:p w14:paraId="2D871C4E" w14:textId="77777777" w:rsidR="00D975D6" w:rsidRPr="00D975D6" w:rsidRDefault="00D975D6" w:rsidP="00D975D6">
      <w:pPr>
        <w:pStyle w:val="EndNoteBibliography"/>
        <w:ind w:left="720" w:hanging="720"/>
      </w:pPr>
      <w:r w:rsidRPr="00D975D6">
        <w:t xml:space="preserve">Jo, Y.N. (2013), 'Psycho-social dimensions of poverty: When poverty becomes shameful', </w:t>
      </w:r>
      <w:r w:rsidRPr="00D975D6">
        <w:rPr>
          <w:i/>
        </w:rPr>
        <w:t>Critical Social Policy</w:t>
      </w:r>
      <w:r w:rsidRPr="00D975D6">
        <w:t>, 33, 514-531.</w:t>
      </w:r>
    </w:p>
    <w:p w14:paraId="6B59905C" w14:textId="77777777" w:rsidR="00D975D6" w:rsidRPr="00D975D6" w:rsidRDefault="00D975D6" w:rsidP="00D975D6">
      <w:pPr>
        <w:pStyle w:val="EndNoteBibliography"/>
        <w:ind w:left="720" w:hanging="720"/>
      </w:pPr>
      <w:r w:rsidRPr="00D975D6">
        <w:t xml:space="preserve">Lee, W.-S. and Oguzoglu, U. (2007), 'Income Support and Stigma Effects for Young Australians', </w:t>
      </w:r>
      <w:r w:rsidRPr="00D975D6">
        <w:rPr>
          <w:i/>
        </w:rPr>
        <w:t>Australian Economic Review</w:t>
      </w:r>
      <w:r w:rsidRPr="00D975D6">
        <w:t>, 40: 4, 369-384.</w:t>
      </w:r>
    </w:p>
    <w:p w14:paraId="4612E3FA" w14:textId="77777777" w:rsidR="00D975D6" w:rsidRPr="00D975D6" w:rsidRDefault="00D975D6" w:rsidP="00D975D6">
      <w:pPr>
        <w:pStyle w:val="EndNoteBibliography"/>
        <w:ind w:left="720" w:hanging="720"/>
      </w:pPr>
      <w:r w:rsidRPr="00D975D6">
        <w:t xml:space="preserve">Major, B. and O'Brien, L.T. (2005), 'The social psychology of stigma', </w:t>
      </w:r>
      <w:r w:rsidRPr="00D975D6">
        <w:rPr>
          <w:i/>
        </w:rPr>
        <w:t>Annual Review of Psychology</w:t>
      </w:r>
      <w:r w:rsidRPr="00D975D6">
        <w:t>, 56, 393-421.</w:t>
      </w:r>
    </w:p>
    <w:p w14:paraId="7834B9AB" w14:textId="77777777" w:rsidR="00D975D6" w:rsidRPr="00D975D6" w:rsidRDefault="00D975D6" w:rsidP="00D975D6">
      <w:pPr>
        <w:pStyle w:val="EndNoteBibliography"/>
        <w:ind w:left="720" w:hanging="720"/>
      </w:pPr>
      <w:r w:rsidRPr="00D975D6">
        <w:lastRenderedPageBreak/>
        <w:t xml:space="preserve">Murray, C. (1990/1996), 'The Emerging British Underclass', in R. Lister (ed.), </w:t>
      </w:r>
      <w:r w:rsidRPr="00D975D6">
        <w:rPr>
          <w:i/>
        </w:rPr>
        <w:t>Charles Murray and the Underclass: The Developing Debate</w:t>
      </w:r>
      <w:r w:rsidRPr="00D975D6">
        <w:t>, London: Institute of Economic Affairs Health and Welfare Unit.</w:t>
      </w:r>
    </w:p>
    <w:p w14:paraId="059FC826" w14:textId="77777777" w:rsidR="00D975D6" w:rsidRPr="00D975D6" w:rsidRDefault="00D975D6" w:rsidP="00D975D6">
      <w:pPr>
        <w:pStyle w:val="EndNoteBibliography"/>
        <w:ind w:left="720" w:hanging="720"/>
      </w:pPr>
      <w:r w:rsidRPr="00D975D6">
        <w:t xml:space="preserve">Page, R. (1984), </w:t>
      </w:r>
      <w:r w:rsidRPr="00D975D6">
        <w:rPr>
          <w:i/>
        </w:rPr>
        <w:t>Stigma</w:t>
      </w:r>
      <w:r w:rsidRPr="00D975D6">
        <w:t>, London: Routledge &amp; Kegan Paul.</w:t>
      </w:r>
    </w:p>
    <w:p w14:paraId="1E43E265" w14:textId="77777777" w:rsidR="00D975D6" w:rsidRPr="00D975D6" w:rsidRDefault="00D975D6" w:rsidP="00D975D6">
      <w:pPr>
        <w:pStyle w:val="EndNoteBibliography"/>
        <w:ind w:left="720" w:hanging="720"/>
      </w:pPr>
      <w:r w:rsidRPr="00D975D6">
        <w:t xml:space="preserve">Pemberton, S., Sutton, E. and Fahmy, E. (2013), A review of the qualitative evidence relating to the experience of poverty and exclusion,  </w:t>
      </w:r>
      <w:r w:rsidRPr="00D975D6">
        <w:rPr>
          <w:i/>
        </w:rPr>
        <w:t>Poverty and Social Exclusion in the UK (PSE) Working Paper - Methods Series No. 22</w:t>
      </w:r>
      <w:r w:rsidRPr="00D975D6">
        <w:t>.</w:t>
      </w:r>
    </w:p>
    <w:p w14:paraId="167363C7" w14:textId="77777777" w:rsidR="00D975D6" w:rsidRPr="00D975D6" w:rsidRDefault="00D975D6" w:rsidP="00D975D6">
      <w:pPr>
        <w:pStyle w:val="EndNoteBibliography"/>
        <w:ind w:left="720" w:hanging="720"/>
      </w:pPr>
      <w:r w:rsidRPr="00D975D6">
        <w:t xml:space="preserve">Pinker, R. (1971), </w:t>
      </w:r>
      <w:r w:rsidRPr="00D975D6">
        <w:rPr>
          <w:i/>
        </w:rPr>
        <w:t>Social Theory and Social Policy</w:t>
      </w:r>
      <w:r w:rsidRPr="00D975D6">
        <w:t>, London: Heinemann Educational Books.</w:t>
      </w:r>
    </w:p>
    <w:p w14:paraId="6E4EA315" w14:textId="77777777" w:rsidR="00D975D6" w:rsidRPr="00D975D6" w:rsidRDefault="00D975D6" w:rsidP="00D975D6">
      <w:pPr>
        <w:pStyle w:val="EndNoteBibliography"/>
        <w:ind w:left="720" w:hanging="720"/>
      </w:pPr>
      <w:r w:rsidRPr="00D975D6">
        <w:t xml:space="preserve">Rege, M., Telle, K. and Votruba, M. (2012), 'Social Interaction Effects in Disability Pension Participation: Evidence from Plant Downsizing*', </w:t>
      </w:r>
      <w:r w:rsidRPr="00D975D6">
        <w:rPr>
          <w:i/>
        </w:rPr>
        <w:t>The Scandinavian Journal of Economics</w:t>
      </w:r>
      <w:r w:rsidRPr="00D975D6">
        <w:t>, 114: 4, 1208-1239.</w:t>
      </w:r>
    </w:p>
    <w:p w14:paraId="21D37E78" w14:textId="77777777" w:rsidR="00D975D6" w:rsidRPr="00D975D6" w:rsidRDefault="00D975D6" w:rsidP="00D975D6">
      <w:pPr>
        <w:pStyle w:val="EndNoteBibliography"/>
        <w:ind w:left="720" w:hanging="720"/>
      </w:pPr>
      <w:r w:rsidRPr="00D975D6">
        <w:t xml:space="preserve">Reyles, D.Z. (2007), 'The Ability to go about Without Shame: A Proposal for Internationally Comparable Indicators of Shame and Humiliation', </w:t>
      </w:r>
      <w:r w:rsidRPr="00D975D6">
        <w:rPr>
          <w:i/>
        </w:rPr>
        <w:t>Oxford Development Studies</w:t>
      </w:r>
      <w:r w:rsidRPr="00D975D6">
        <w:t>, 35: 4, 405-430.</w:t>
      </w:r>
    </w:p>
    <w:p w14:paraId="3B4B224B" w14:textId="77777777" w:rsidR="00D975D6" w:rsidRPr="00D975D6" w:rsidRDefault="00D975D6" w:rsidP="00D975D6">
      <w:pPr>
        <w:pStyle w:val="EndNoteBibliography"/>
        <w:ind w:left="720" w:hanging="720"/>
      </w:pPr>
      <w:r w:rsidRPr="00D975D6">
        <w:t xml:space="preserve">Rogers-Dillon, R. (1995), 'The dynamics of welfare stigma', </w:t>
      </w:r>
      <w:r w:rsidRPr="00D975D6">
        <w:rPr>
          <w:i/>
        </w:rPr>
        <w:t>Qualitative Sociology</w:t>
      </w:r>
      <w:r w:rsidRPr="00D975D6">
        <w:t>, 18: 4, 439-456.</w:t>
      </w:r>
    </w:p>
    <w:p w14:paraId="7B084605" w14:textId="77777777" w:rsidR="00D975D6" w:rsidRPr="00D975D6" w:rsidRDefault="00D975D6" w:rsidP="00D975D6">
      <w:pPr>
        <w:pStyle w:val="EndNoteBibliography"/>
        <w:ind w:left="720" w:hanging="720"/>
      </w:pPr>
      <w:r w:rsidRPr="00D975D6">
        <w:t xml:space="preserve">Seccombe, K., James, D. and Walters, K.B. (1998), '"They Think You Ain't Much of Nothing": The Social Construction of the Welfare Mother', </w:t>
      </w:r>
      <w:r w:rsidRPr="00D975D6">
        <w:rPr>
          <w:i/>
        </w:rPr>
        <w:t>Journal of Marriage and Family</w:t>
      </w:r>
      <w:r w:rsidRPr="00D975D6">
        <w:t>, 60: 4, 849-865.</w:t>
      </w:r>
    </w:p>
    <w:p w14:paraId="6688C0B4" w14:textId="77777777" w:rsidR="00D975D6" w:rsidRPr="00D975D6" w:rsidRDefault="00D975D6" w:rsidP="00D975D6">
      <w:pPr>
        <w:pStyle w:val="EndNoteBibliography"/>
        <w:ind w:left="720" w:hanging="720"/>
      </w:pPr>
      <w:r w:rsidRPr="00D975D6">
        <w:t xml:space="preserve">Sen, A. (1983), 'Poor, Relatively Speaking', </w:t>
      </w:r>
      <w:r w:rsidRPr="00D975D6">
        <w:rPr>
          <w:i/>
        </w:rPr>
        <w:t>Oxford Economic Papers</w:t>
      </w:r>
      <w:r w:rsidRPr="00D975D6">
        <w:t>, 35: 2, 153-169.</w:t>
      </w:r>
    </w:p>
    <w:p w14:paraId="3B7CD6D4" w14:textId="77777777" w:rsidR="00D975D6" w:rsidRPr="00D975D6" w:rsidRDefault="00D975D6" w:rsidP="00D975D6">
      <w:pPr>
        <w:pStyle w:val="EndNoteBibliography"/>
        <w:ind w:left="720" w:hanging="720"/>
      </w:pPr>
      <w:r w:rsidRPr="00D975D6">
        <w:t xml:space="preserve">Shildrick, T. and MacDonald, R. (2013), 'Poverty talk: how people experiencing poverty deny their poverty and why they blame ‘the poor’', </w:t>
      </w:r>
      <w:r w:rsidRPr="00D975D6">
        <w:rPr>
          <w:i/>
        </w:rPr>
        <w:t>The Sociological Review</w:t>
      </w:r>
      <w:r w:rsidRPr="00D975D6">
        <w:t>, 61: 2, 285-303.</w:t>
      </w:r>
    </w:p>
    <w:p w14:paraId="1F41389E" w14:textId="77777777" w:rsidR="00D975D6" w:rsidRPr="00D975D6" w:rsidRDefault="00D975D6" w:rsidP="00D975D6">
      <w:pPr>
        <w:pStyle w:val="EndNoteBibliography"/>
        <w:ind w:left="720" w:hanging="720"/>
      </w:pPr>
      <w:r w:rsidRPr="00D975D6">
        <w:t xml:space="preserve">Spicker, P. (1984), </w:t>
      </w:r>
      <w:r w:rsidRPr="00D975D6">
        <w:rPr>
          <w:i/>
        </w:rPr>
        <w:t>Stigma and social welfare</w:t>
      </w:r>
      <w:r w:rsidRPr="00D975D6">
        <w:t>: Croom Helm.</w:t>
      </w:r>
    </w:p>
    <w:p w14:paraId="7F390469" w14:textId="77777777" w:rsidR="00D975D6" w:rsidRPr="00D975D6" w:rsidRDefault="00D975D6" w:rsidP="00D975D6">
      <w:pPr>
        <w:pStyle w:val="EndNoteBibliography"/>
        <w:ind w:left="720" w:hanging="720"/>
      </w:pPr>
      <w:r w:rsidRPr="00D975D6">
        <w:t xml:space="preserve">Stone, D.A. (1984), </w:t>
      </w:r>
      <w:r w:rsidRPr="00D975D6">
        <w:rPr>
          <w:i/>
        </w:rPr>
        <w:t>The Disabled State</w:t>
      </w:r>
      <w:r w:rsidRPr="00D975D6">
        <w:t>, Philadelphia: Temple University Press.</w:t>
      </w:r>
    </w:p>
    <w:p w14:paraId="2D5ED85B" w14:textId="77777777" w:rsidR="00D975D6" w:rsidRPr="00D975D6" w:rsidRDefault="00D975D6" w:rsidP="00D975D6">
      <w:pPr>
        <w:pStyle w:val="EndNoteBibliography"/>
        <w:ind w:left="720" w:hanging="720"/>
      </w:pPr>
      <w:r w:rsidRPr="00D975D6">
        <w:t xml:space="preserve">Stuber, J. and Kronebusch, K. (2004), 'Stigma and Other Determinants of Participation in TANF and Medicaid', </w:t>
      </w:r>
      <w:r w:rsidRPr="00D975D6">
        <w:rPr>
          <w:i/>
        </w:rPr>
        <w:t>Journal of Policy Analysis and Management</w:t>
      </w:r>
      <w:r w:rsidRPr="00D975D6">
        <w:t>, 23: 3, 509-530.</w:t>
      </w:r>
    </w:p>
    <w:p w14:paraId="5511BBE2" w14:textId="77777777" w:rsidR="00D975D6" w:rsidRPr="00D975D6" w:rsidRDefault="00D975D6" w:rsidP="00D975D6">
      <w:pPr>
        <w:pStyle w:val="EndNoteBibliography"/>
        <w:ind w:left="720" w:hanging="720"/>
      </w:pPr>
      <w:r w:rsidRPr="00D975D6">
        <w:t xml:space="preserve">Stuber, J. and Schlesinger, M. (2006), 'Sources of stigma for means-tested government programs', </w:t>
      </w:r>
      <w:r w:rsidRPr="00D975D6">
        <w:rPr>
          <w:i/>
        </w:rPr>
        <w:t>Social Science &amp; Medicine</w:t>
      </w:r>
      <w:r w:rsidRPr="00D975D6">
        <w:t>, 63, 933-945.</w:t>
      </w:r>
    </w:p>
    <w:p w14:paraId="526DB04A" w14:textId="77777777" w:rsidR="00D975D6" w:rsidRPr="00D975D6" w:rsidRDefault="00D975D6" w:rsidP="00D975D6">
      <w:pPr>
        <w:pStyle w:val="EndNoteBibliography"/>
        <w:ind w:left="720" w:hanging="720"/>
      </w:pPr>
      <w:r w:rsidRPr="00D975D6">
        <w:t xml:space="preserve">Taylor-Gooby, P. (1976), 'Rent benefits and tenants' attitudes: the Batley rent rebate and allowance study', </w:t>
      </w:r>
      <w:r w:rsidRPr="00D975D6">
        <w:rPr>
          <w:i/>
        </w:rPr>
        <w:t>Journal of Social Policy</w:t>
      </w:r>
      <w:r w:rsidRPr="00D975D6">
        <w:t>, 5: 1, 33-48.</w:t>
      </w:r>
    </w:p>
    <w:p w14:paraId="23ACB15A" w14:textId="77777777" w:rsidR="00D975D6" w:rsidRPr="00D975D6" w:rsidRDefault="00D975D6" w:rsidP="00D975D6">
      <w:pPr>
        <w:pStyle w:val="EndNoteBibliography"/>
        <w:ind w:left="720" w:hanging="720"/>
      </w:pPr>
      <w:r w:rsidRPr="00D975D6">
        <w:t xml:space="preserve">Taylor-Gooby, P. (2013), 'Why Do People Stigmatise the Poor at a Time of Rapidly Increasing Inequality, and What Can Be Done About It?', </w:t>
      </w:r>
      <w:r w:rsidRPr="00D975D6">
        <w:rPr>
          <w:i/>
        </w:rPr>
        <w:t>The Political Quarterly</w:t>
      </w:r>
      <w:r w:rsidRPr="00D975D6">
        <w:t>, 84: 1, 31-42.</w:t>
      </w:r>
    </w:p>
    <w:p w14:paraId="6C503539" w14:textId="77777777" w:rsidR="00D975D6" w:rsidRPr="00D975D6" w:rsidRDefault="00D975D6" w:rsidP="00D975D6">
      <w:pPr>
        <w:pStyle w:val="EndNoteBibliography"/>
        <w:ind w:left="720" w:hanging="720"/>
      </w:pPr>
      <w:r w:rsidRPr="00D975D6">
        <w:t xml:space="preserve">Titmuss, R. (1968), </w:t>
      </w:r>
      <w:r w:rsidRPr="00D975D6">
        <w:rPr>
          <w:i/>
        </w:rPr>
        <w:t>Commitment to welfare</w:t>
      </w:r>
      <w:r w:rsidRPr="00D975D6">
        <w:t>, London: Allen &amp; Unwin.</w:t>
      </w:r>
    </w:p>
    <w:p w14:paraId="78E2CFE4" w14:textId="1A749678" w:rsidR="00D975D6" w:rsidRPr="00D975D6" w:rsidRDefault="00D975D6" w:rsidP="00D975D6">
      <w:pPr>
        <w:pStyle w:val="EndNoteBibliography"/>
        <w:ind w:left="720" w:hanging="720"/>
      </w:pPr>
      <w:r w:rsidRPr="00D975D6">
        <w:t xml:space="preserve">Turn2us (2012), </w:t>
      </w:r>
      <w:r w:rsidRPr="00D975D6">
        <w:rPr>
          <w:i/>
        </w:rPr>
        <w:t>New research reveals lack of awareness of available welfare support and benefits changes amongst those on low incomes</w:t>
      </w:r>
      <w:r w:rsidRPr="00D975D6">
        <w:t xml:space="preserve"> [press release]. London: Elizabeth Finn Care. </w:t>
      </w:r>
      <w:hyperlink r:id="rId15" w:history="1">
        <w:r w:rsidRPr="00D975D6">
          <w:rPr>
            <w:rStyle w:val="Hyperlink"/>
          </w:rPr>
          <w:t>http://www.turn2us.org.uk/about_us/media_centre/press_releases/bam_2012_2.aspx</w:t>
        </w:r>
      </w:hyperlink>
      <w:r w:rsidRPr="00D975D6">
        <w:t xml:space="preserve"> [accessed 13/8/2014]</w:t>
      </w:r>
    </w:p>
    <w:p w14:paraId="1A8C9425" w14:textId="77777777" w:rsidR="00D975D6" w:rsidRPr="00D975D6" w:rsidRDefault="00D975D6" w:rsidP="00D975D6">
      <w:pPr>
        <w:pStyle w:val="EndNoteBibliography"/>
        <w:ind w:left="720" w:hanging="720"/>
      </w:pPr>
      <w:r w:rsidRPr="00D975D6">
        <w:t xml:space="preserve">Van Brakel , W.H. (2006), 'Measuring health-related stigma—A literature review', </w:t>
      </w:r>
      <w:r w:rsidRPr="00D975D6">
        <w:rPr>
          <w:i/>
        </w:rPr>
        <w:t>Psychology, Health &amp; Medicine</w:t>
      </w:r>
      <w:r w:rsidRPr="00D975D6">
        <w:t>, 11: 3, 307-334.</w:t>
      </w:r>
    </w:p>
    <w:p w14:paraId="77F6E8FB" w14:textId="77777777" w:rsidR="00D975D6" w:rsidRPr="00D975D6" w:rsidRDefault="00D975D6" w:rsidP="00D975D6">
      <w:pPr>
        <w:pStyle w:val="EndNoteBibliography"/>
        <w:ind w:left="720" w:hanging="720"/>
      </w:pPr>
      <w:r w:rsidRPr="00D975D6">
        <w:t xml:space="preserve">van Oorschot, W. (2000), 'Who should get what, and why?  On deservingness criteria and the conditionality of solidarity among the public', </w:t>
      </w:r>
      <w:r w:rsidRPr="00D975D6">
        <w:rPr>
          <w:i/>
        </w:rPr>
        <w:t>Policy &amp; Politics</w:t>
      </w:r>
      <w:r w:rsidRPr="00D975D6">
        <w:t>, 28: 1, 33-48.</w:t>
      </w:r>
    </w:p>
    <w:p w14:paraId="0F479771" w14:textId="77777777" w:rsidR="00D975D6" w:rsidRPr="00D975D6" w:rsidRDefault="00D975D6" w:rsidP="00D975D6">
      <w:pPr>
        <w:pStyle w:val="EndNoteBibliography"/>
        <w:ind w:left="720" w:hanging="720"/>
      </w:pPr>
      <w:r w:rsidRPr="00D975D6">
        <w:t xml:space="preserve">van Oorschot, W. (2002), 'Targeting welfare: on the functions and dysfunctions of means testing in social policy', in P. Townsend and D. Gordon (eds.), </w:t>
      </w:r>
      <w:r w:rsidRPr="00D975D6">
        <w:rPr>
          <w:i/>
        </w:rPr>
        <w:t>World poverty: new policies to defeat an old enemy</w:t>
      </w:r>
      <w:r w:rsidRPr="00D975D6">
        <w:t>, Bristol: Policy Press.</w:t>
      </w:r>
    </w:p>
    <w:p w14:paraId="4D7FA77A" w14:textId="77777777" w:rsidR="00D975D6" w:rsidRPr="00D975D6" w:rsidRDefault="00D975D6" w:rsidP="00D975D6">
      <w:pPr>
        <w:pStyle w:val="EndNoteBibliography"/>
        <w:ind w:left="720" w:hanging="720"/>
      </w:pPr>
      <w:r w:rsidRPr="00D975D6">
        <w:t xml:space="preserve">Walker, R. (2005), </w:t>
      </w:r>
      <w:r w:rsidRPr="00D975D6">
        <w:rPr>
          <w:i/>
        </w:rPr>
        <w:t>Social security and welfare: concepts and comparisons</w:t>
      </w:r>
      <w:r w:rsidRPr="00D975D6">
        <w:t>, Milton Keynes: Open University Press.</w:t>
      </w:r>
    </w:p>
    <w:p w14:paraId="26D6F510" w14:textId="77777777" w:rsidR="00D975D6" w:rsidRPr="00D975D6" w:rsidRDefault="00D975D6" w:rsidP="00D975D6">
      <w:pPr>
        <w:pStyle w:val="EndNoteBibliography"/>
        <w:ind w:left="720" w:hanging="720"/>
      </w:pPr>
      <w:r w:rsidRPr="00D975D6">
        <w:t xml:space="preserve">Walker, R., Kyomuhendo, G.B., Chase, E., Choudhry, S., Gubrium, E.K., Jo, Y.N., Lødemel, I., Mathew, L., Mwiine, A., Pellissery, S. and Ming, Y. (2013), 'Poverty in Global Perspective: Is Shame a Common Denominator?', </w:t>
      </w:r>
      <w:r w:rsidRPr="00D975D6">
        <w:rPr>
          <w:i/>
        </w:rPr>
        <w:t>Journal of Social Policy</w:t>
      </w:r>
      <w:r w:rsidRPr="00D975D6">
        <w:t>, 42: 02, 215-233.</w:t>
      </w:r>
    </w:p>
    <w:p w14:paraId="50288BF0" w14:textId="506DA62C" w:rsidR="00D975D6" w:rsidRPr="00D975D6" w:rsidRDefault="00D975D6" w:rsidP="00D975D6">
      <w:pPr>
        <w:pStyle w:val="EndNoteBibliography"/>
        <w:ind w:left="720" w:hanging="720"/>
      </w:pPr>
      <w:r w:rsidRPr="00D975D6">
        <w:t xml:space="preserve">Who Benefits? (2013), </w:t>
      </w:r>
      <w:r w:rsidRPr="00D975D6">
        <w:rPr>
          <w:i/>
        </w:rPr>
        <w:t>Campaign launches to give voice to people supported by benefits</w:t>
      </w:r>
      <w:r w:rsidRPr="00D975D6">
        <w:t xml:space="preserve"> [press release]. London: Who Benefits? on behalf of The Children's Society, Crisis, Gingerbread, Macmillan Cancer Support, and Mind. </w:t>
      </w:r>
      <w:hyperlink r:id="rId16" w:history="1">
        <w:r w:rsidRPr="00D975D6">
          <w:rPr>
            <w:rStyle w:val="Hyperlink"/>
          </w:rPr>
          <w:t>http://blog.whobenefits.org.uk/post/65117143114/launch-release</w:t>
        </w:r>
      </w:hyperlink>
      <w:r w:rsidRPr="00D975D6">
        <w:t xml:space="preserve"> [accessed 13/8/2014]</w:t>
      </w:r>
    </w:p>
    <w:p w14:paraId="79BC7D16" w14:textId="77777777" w:rsidR="00D975D6" w:rsidRPr="00D975D6" w:rsidRDefault="00D975D6" w:rsidP="00D975D6">
      <w:pPr>
        <w:pStyle w:val="EndNoteBibliography"/>
        <w:ind w:left="720" w:hanging="720"/>
      </w:pPr>
      <w:r w:rsidRPr="00D975D6">
        <w:lastRenderedPageBreak/>
        <w:t xml:space="preserve">Williamson, J.B. (1974), 'The Stigma of Public Dependency: A Comparison of Alternative Forms of Public Aid to the Poor', </w:t>
      </w:r>
      <w:r w:rsidRPr="00D975D6">
        <w:rPr>
          <w:i/>
        </w:rPr>
        <w:t>Social Problems</w:t>
      </w:r>
      <w:r w:rsidRPr="00D975D6">
        <w:t>, 22: 2, 213-228.</w:t>
      </w:r>
    </w:p>
    <w:p w14:paraId="487A9312" w14:textId="5225CCF0" w:rsidR="00810AB7" w:rsidRDefault="00C75157" w:rsidP="00901C82">
      <w:pPr>
        <w:pStyle w:val="Heading1"/>
      </w:pPr>
      <w:r>
        <w:fldChar w:fldCharType="end"/>
      </w:r>
    </w:p>
    <w:p w14:paraId="0F33EC6E" w14:textId="77777777" w:rsidR="00810AB7" w:rsidRDefault="00810AB7">
      <w:pPr>
        <w:spacing w:after="160" w:line="259" w:lineRule="auto"/>
        <w:rPr>
          <w:rFonts w:asciiTheme="majorHAnsi" w:eastAsiaTheme="majorEastAsia" w:hAnsiTheme="majorHAnsi" w:cstheme="majorBidi"/>
          <w:color w:val="2E74B5" w:themeColor="accent1" w:themeShade="BF"/>
          <w:sz w:val="32"/>
          <w:szCs w:val="32"/>
        </w:rPr>
      </w:pPr>
      <w:r>
        <w:br w:type="page"/>
      </w:r>
    </w:p>
    <w:p w14:paraId="411C4459" w14:textId="77777777" w:rsidR="00810AB7" w:rsidRPr="00810AB7" w:rsidRDefault="00810AB7" w:rsidP="00810AB7">
      <w:pPr>
        <w:keepNext/>
        <w:spacing w:before="240" w:after="120" w:line="240" w:lineRule="auto"/>
        <w:jc w:val="center"/>
        <w:rPr>
          <w:rFonts w:ascii="Calibri" w:eastAsia="Calibri" w:hAnsi="Calibri" w:cs="Times New Roman"/>
          <w:i/>
          <w:iCs/>
          <w:szCs w:val="18"/>
        </w:rPr>
      </w:pPr>
      <w:bookmarkStart w:id="1" w:name="_Ref396028920"/>
      <w:r w:rsidRPr="00810AB7">
        <w:rPr>
          <w:rFonts w:ascii="Calibri" w:eastAsia="Calibri" w:hAnsi="Calibri" w:cs="Times New Roman"/>
          <w:b/>
          <w:i/>
          <w:iCs/>
          <w:szCs w:val="18"/>
        </w:rPr>
        <w:lastRenderedPageBreak/>
        <w:t xml:space="preserve">Table </w:t>
      </w:r>
      <w:r w:rsidRPr="00810AB7">
        <w:rPr>
          <w:rFonts w:ascii="Calibri" w:eastAsia="Calibri" w:hAnsi="Calibri" w:cs="Times New Roman"/>
          <w:b/>
          <w:i/>
          <w:iCs/>
          <w:szCs w:val="18"/>
        </w:rPr>
        <w:fldChar w:fldCharType="begin"/>
      </w:r>
      <w:r w:rsidRPr="00810AB7">
        <w:rPr>
          <w:rFonts w:ascii="Calibri" w:eastAsia="Calibri" w:hAnsi="Calibri" w:cs="Times New Roman"/>
          <w:b/>
          <w:i/>
          <w:iCs/>
          <w:szCs w:val="18"/>
        </w:rPr>
        <w:instrText xml:space="preserve"> SEQ Table \* ARABIC </w:instrText>
      </w:r>
      <w:r w:rsidRPr="00810AB7">
        <w:rPr>
          <w:rFonts w:ascii="Calibri" w:eastAsia="Calibri" w:hAnsi="Calibri" w:cs="Times New Roman"/>
          <w:b/>
          <w:i/>
          <w:iCs/>
          <w:szCs w:val="18"/>
        </w:rPr>
        <w:fldChar w:fldCharType="separate"/>
      </w:r>
      <w:r w:rsidRPr="00810AB7">
        <w:rPr>
          <w:rFonts w:ascii="Calibri" w:eastAsia="Calibri" w:hAnsi="Calibri" w:cs="Times New Roman"/>
          <w:b/>
          <w:i/>
          <w:iCs/>
          <w:noProof/>
          <w:szCs w:val="18"/>
        </w:rPr>
        <w:t>1</w:t>
      </w:r>
      <w:r w:rsidRPr="00810AB7">
        <w:rPr>
          <w:rFonts w:ascii="Calibri" w:eastAsia="Calibri" w:hAnsi="Calibri" w:cs="Times New Roman"/>
          <w:b/>
          <w:i/>
          <w:iCs/>
          <w:noProof/>
          <w:szCs w:val="18"/>
        </w:rPr>
        <w:fldChar w:fldCharType="end"/>
      </w:r>
      <w:bookmarkEnd w:id="1"/>
      <w:r w:rsidRPr="00810AB7">
        <w:rPr>
          <w:rFonts w:ascii="Calibri" w:eastAsia="Calibri" w:hAnsi="Calibri" w:cs="Times New Roman"/>
          <w:b/>
          <w:i/>
          <w:iCs/>
          <w:szCs w:val="18"/>
        </w:rPr>
        <w:t xml:space="preserve">: Personal stigma and stigmatisation by benefit type </w:t>
      </w:r>
      <w:r w:rsidRPr="00810AB7">
        <w:rPr>
          <w:rFonts w:ascii="Calibri" w:eastAsia="Calibri" w:hAnsi="Calibri" w:cs="Times New Roman"/>
          <w:i/>
          <w:iCs/>
          <w:szCs w:val="18"/>
        </w:rPr>
        <w:t>(agree that should feel ashamed)</w:t>
      </w:r>
    </w:p>
    <w:tbl>
      <w:tblPr>
        <w:tblW w:w="8645" w:type="dxa"/>
        <w:jc w:val="center"/>
        <w:tblLook w:val="04A0" w:firstRow="1" w:lastRow="0" w:firstColumn="1" w:lastColumn="0" w:noHBand="0" w:noVBand="1"/>
      </w:tblPr>
      <w:tblGrid>
        <w:gridCol w:w="2900"/>
        <w:gridCol w:w="960"/>
        <w:gridCol w:w="940"/>
        <w:gridCol w:w="940"/>
        <w:gridCol w:w="1024"/>
        <w:gridCol w:w="941"/>
        <w:gridCol w:w="940"/>
      </w:tblGrid>
      <w:tr w:rsidR="00810AB7" w:rsidRPr="00810AB7" w14:paraId="0DBD0EE1" w14:textId="77777777" w:rsidTr="00734191">
        <w:trPr>
          <w:trHeight w:val="288"/>
          <w:jc w:val="center"/>
        </w:trPr>
        <w:tc>
          <w:tcPr>
            <w:tcW w:w="2900" w:type="dxa"/>
            <w:tcBorders>
              <w:top w:val="single" w:sz="4" w:space="0" w:color="auto"/>
            </w:tcBorders>
            <w:shd w:val="clear" w:color="auto" w:fill="auto"/>
            <w:noWrap/>
            <w:vAlign w:val="bottom"/>
            <w:hideMark/>
          </w:tcPr>
          <w:p w14:paraId="7476EF68" w14:textId="77777777" w:rsidR="00810AB7" w:rsidRPr="00810AB7" w:rsidRDefault="00810AB7" w:rsidP="00810AB7">
            <w:pPr>
              <w:spacing w:line="240" w:lineRule="auto"/>
              <w:rPr>
                <w:rFonts w:ascii="Times New Roman" w:eastAsia="Times New Roman" w:hAnsi="Times New Roman" w:cs="Times New Roman"/>
                <w:sz w:val="24"/>
                <w:szCs w:val="20"/>
                <w:lang w:eastAsia="en-GB"/>
              </w:rPr>
            </w:pPr>
          </w:p>
        </w:tc>
        <w:tc>
          <w:tcPr>
            <w:tcW w:w="960" w:type="dxa"/>
            <w:tcBorders>
              <w:top w:val="single" w:sz="4" w:space="0" w:color="auto"/>
            </w:tcBorders>
            <w:shd w:val="clear" w:color="auto" w:fill="auto"/>
            <w:noWrap/>
            <w:vAlign w:val="bottom"/>
            <w:hideMark/>
          </w:tcPr>
          <w:p w14:paraId="11CB6A43" w14:textId="77777777" w:rsidR="00810AB7" w:rsidRPr="00810AB7" w:rsidRDefault="00810AB7" w:rsidP="00810AB7">
            <w:pPr>
              <w:spacing w:line="240" w:lineRule="auto"/>
              <w:rPr>
                <w:rFonts w:ascii="Times New Roman" w:eastAsia="Times New Roman" w:hAnsi="Times New Roman" w:cs="Times New Roman"/>
                <w:sz w:val="20"/>
                <w:szCs w:val="20"/>
                <w:lang w:eastAsia="en-GB"/>
              </w:rPr>
            </w:pPr>
          </w:p>
        </w:tc>
        <w:tc>
          <w:tcPr>
            <w:tcW w:w="4785" w:type="dxa"/>
            <w:gridSpan w:val="5"/>
            <w:tcBorders>
              <w:top w:val="single" w:sz="4" w:space="0" w:color="auto"/>
            </w:tcBorders>
            <w:shd w:val="clear" w:color="auto" w:fill="auto"/>
            <w:noWrap/>
            <w:vAlign w:val="bottom"/>
            <w:hideMark/>
          </w:tcPr>
          <w:p w14:paraId="43B83B05" w14:textId="77777777" w:rsidR="00810AB7" w:rsidRPr="00810AB7" w:rsidRDefault="00810AB7" w:rsidP="00810AB7">
            <w:pPr>
              <w:spacing w:line="240" w:lineRule="auto"/>
              <w:jc w:val="center"/>
              <w:rPr>
                <w:rFonts w:ascii="Calibri" w:eastAsia="Times New Roman" w:hAnsi="Calibri" w:cs="Times New Roman"/>
                <w:bCs/>
                <w:i/>
                <w:iCs/>
                <w:szCs w:val="22"/>
                <w:lang w:eastAsia="en-GB"/>
              </w:rPr>
            </w:pPr>
            <w:r w:rsidRPr="00810AB7">
              <w:rPr>
                <w:rFonts w:ascii="Calibri" w:eastAsia="Times New Roman" w:hAnsi="Calibri" w:cs="Times New Roman"/>
                <w:bCs/>
                <w:i/>
                <w:iCs/>
                <w:szCs w:val="22"/>
                <w:lang w:eastAsia="en-GB"/>
              </w:rPr>
              <w:t>Type of benefit</w:t>
            </w:r>
          </w:p>
        </w:tc>
      </w:tr>
      <w:tr w:rsidR="00810AB7" w:rsidRPr="00810AB7" w14:paraId="51C1774D" w14:textId="77777777" w:rsidTr="00734191">
        <w:trPr>
          <w:trHeight w:val="576"/>
          <w:jc w:val="center"/>
        </w:trPr>
        <w:tc>
          <w:tcPr>
            <w:tcW w:w="2900" w:type="dxa"/>
            <w:tcBorders>
              <w:bottom w:val="single" w:sz="4" w:space="0" w:color="auto"/>
            </w:tcBorders>
            <w:shd w:val="clear" w:color="auto" w:fill="auto"/>
            <w:noWrap/>
            <w:vAlign w:val="bottom"/>
            <w:hideMark/>
          </w:tcPr>
          <w:p w14:paraId="28F07BF9" w14:textId="77777777" w:rsidR="00810AB7" w:rsidRPr="00810AB7" w:rsidRDefault="00810AB7" w:rsidP="00810AB7">
            <w:pPr>
              <w:spacing w:line="240" w:lineRule="auto"/>
              <w:rPr>
                <w:rFonts w:ascii="Calibri" w:eastAsia="Times New Roman" w:hAnsi="Calibri" w:cs="Times New Roman"/>
                <w:b/>
                <w:bCs/>
                <w:i/>
                <w:iCs/>
                <w:szCs w:val="22"/>
                <w:lang w:eastAsia="en-GB"/>
              </w:rPr>
            </w:pPr>
            <w:r w:rsidRPr="00810AB7">
              <w:rPr>
                <w:rFonts w:ascii="Calibri" w:eastAsia="Times New Roman" w:hAnsi="Calibri" w:cs="Times New Roman"/>
                <w:b/>
                <w:bCs/>
                <w:i/>
                <w:iCs/>
                <w:szCs w:val="22"/>
                <w:lang w:eastAsia="en-GB"/>
              </w:rPr>
              <w:t>Personal stigma (self)</w:t>
            </w:r>
          </w:p>
        </w:tc>
        <w:tc>
          <w:tcPr>
            <w:tcW w:w="960" w:type="dxa"/>
            <w:tcBorders>
              <w:bottom w:val="single" w:sz="4" w:space="0" w:color="auto"/>
            </w:tcBorders>
            <w:shd w:val="clear" w:color="auto" w:fill="auto"/>
            <w:noWrap/>
            <w:vAlign w:val="center"/>
            <w:hideMark/>
          </w:tcPr>
          <w:p w14:paraId="2CD0B5B5" w14:textId="77777777" w:rsidR="00810AB7" w:rsidRPr="00810AB7" w:rsidRDefault="00810AB7" w:rsidP="00810AB7">
            <w:pPr>
              <w:spacing w:line="240" w:lineRule="auto"/>
              <w:jc w:val="center"/>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 xml:space="preserve">All </w:t>
            </w:r>
            <w:r w:rsidRPr="00810AB7">
              <w:rPr>
                <w:rFonts w:ascii="Calibri" w:eastAsia="Times New Roman" w:hAnsi="Calibri" w:cs="Times New Roman"/>
                <w:b/>
                <w:bCs/>
                <w:szCs w:val="22"/>
                <w:vertAlign w:val="superscript"/>
                <w:lang w:eastAsia="en-GB"/>
              </w:rPr>
              <w:t>1</w:t>
            </w:r>
          </w:p>
        </w:tc>
        <w:tc>
          <w:tcPr>
            <w:tcW w:w="940" w:type="dxa"/>
            <w:tcBorders>
              <w:bottom w:val="single" w:sz="4" w:space="0" w:color="auto"/>
            </w:tcBorders>
            <w:shd w:val="clear" w:color="auto" w:fill="auto"/>
            <w:vAlign w:val="center"/>
            <w:hideMark/>
          </w:tcPr>
          <w:p w14:paraId="5DD7A7B6"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Single </w:t>
            </w:r>
            <w:r w:rsidRPr="00810AB7">
              <w:rPr>
                <w:rFonts w:ascii="Calibri" w:eastAsia="Times New Roman" w:hAnsi="Calibri" w:cs="Times New Roman"/>
                <w:szCs w:val="22"/>
                <w:lang w:eastAsia="en-GB"/>
              </w:rPr>
              <w:br/>
              <w:t>parents</w:t>
            </w:r>
          </w:p>
        </w:tc>
        <w:tc>
          <w:tcPr>
            <w:tcW w:w="940" w:type="dxa"/>
            <w:tcBorders>
              <w:bottom w:val="single" w:sz="4" w:space="0" w:color="auto"/>
            </w:tcBorders>
            <w:shd w:val="clear" w:color="auto" w:fill="auto"/>
            <w:vAlign w:val="center"/>
            <w:hideMark/>
          </w:tcPr>
          <w:p w14:paraId="3549CB7B"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Unemp</w:t>
            </w:r>
            <w:r w:rsidRPr="00810AB7">
              <w:rPr>
                <w:rFonts w:ascii="Calibri" w:eastAsia="Times New Roman" w:hAnsi="Calibri" w:cs="Times New Roman"/>
                <w:szCs w:val="22"/>
                <w:lang w:eastAsia="en-GB"/>
              </w:rPr>
              <w:br/>
              <w:t>-loyed</w:t>
            </w:r>
          </w:p>
        </w:tc>
        <w:tc>
          <w:tcPr>
            <w:tcW w:w="1024" w:type="dxa"/>
            <w:tcBorders>
              <w:bottom w:val="single" w:sz="4" w:space="0" w:color="auto"/>
            </w:tcBorders>
            <w:shd w:val="clear" w:color="auto" w:fill="auto"/>
            <w:vAlign w:val="center"/>
            <w:hideMark/>
          </w:tcPr>
          <w:p w14:paraId="6B1009C5"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Incapacit</w:t>
            </w:r>
            <w:r w:rsidRPr="00810AB7">
              <w:rPr>
                <w:rFonts w:ascii="Calibri" w:eastAsia="Times New Roman" w:hAnsi="Calibri" w:cs="Times New Roman"/>
                <w:szCs w:val="22"/>
                <w:lang w:eastAsia="en-GB"/>
              </w:rPr>
              <w:br/>
              <w:t>-ated</w:t>
            </w:r>
          </w:p>
        </w:tc>
        <w:tc>
          <w:tcPr>
            <w:tcW w:w="941" w:type="dxa"/>
            <w:tcBorders>
              <w:bottom w:val="single" w:sz="4" w:space="0" w:color="auto"/>
            </w:tcBorders>
            <w:shd w:val="clear" w:color="auto" w:fill="auto"/>
            <w:vAlign w:val="center"/>
            <w:hideMark/>
          </w:tcPr>
          <w:p w14:paraId="6153AD78"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Housing</w:t>
            </w:r>
            <w:r w:rsidRPr="00810AB7">
              <w:rPr>
                <w:rFonts w:ascii="Calibri" w:eastAsia="Times New Roman" w:hAnsi="Calibri" w:cs="Times New Roman"/>
                <w:szCs w:val="22"/>
                <w:lang w:eastAsia="en-GB"/>
              </w:rPr>
              <w:br/>
              <w:t>Benefit</w:t>
            </w:r>
          </w:p>
        </w:tc>
        <w:tc>
          <w:tcPr>
            <w:tcW w:w="940" w:type="dxa"/>
            <w:tcBorders>
              <w:bottom w:val="single" w:sz="4" w:space="0" w:color="auto"/>
            </w:tcBorders>
            <w:shd w:val="clear" w:color="auto" w:fill="auto"/>
            <w:vAlign w:val="center"/>
            <w:hideMark/>
          </w:tcPr>
          <w:p w14:paraId="6232CBCE"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Tax </w:t>
            </w:r>
            <w:r w:rsidRPr="00810AB7">
              <w:rPr>
                <w:rFonts w:ascii="Calibri" w:eastAsia="Times New Roman" w:hAnsi="Calibri" w:cs="Times New Roman"/>
                <w:szCs w:val="22"/>
                <w:lang w:eastAsia="en-GB"/>
              </w:rPr>
              <w:br/>
              <w:t>Credits</w:t>
            </w:r>
          </w:p>
        </w:tc>
      </w:tr>
      <w:tr w:rsidR="00810AB7" w:rsidRPr="00810AB7" w14:paraId="2A058350" w14:textId="77777777" w:rsidTr="00734191">
        <w:trPr>
          <w:trHeight w:val="288"/>
          <w:jc w:val="center"/>
        </w:trPr>
        <w:tc>
          <w:tcPr>
            <w:tcW w:w="2900" w:type="dxa"/>
            <w:tcBorders>
              <w:top w:val="single" w:sz="4" w:space="0" w:color="auto"/>
            </w:tcBorders>
            <w:shd w:val="clear" w:color="auto" w:fill="auto"/>
            <w:noWrap/>
            <w:vAlign w:val="bottom"/>
            <w:hideMark/>
          </w:tcPr>
          <w:p w14:paraId="060A9A2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Overall</w:t>
            </w:r>
          </w:p>
        </w:tc>
        <w:tc>
          <w:tcPr>
            <w:tcW w:w="960" w:type="dxa"/>
            <w:tcBorders>
              <w:top w:val="single" w:sz="4" w:space="0" w:color="auto"/>
            </w:tcBorders>
            <w:shd w:val="clear" w:color="auto" w:fill="auto"/>
            <w:noWrap/>
            <w:vAlign w:val="bottom"/>
            <w:hideMark/>
          </w:tcPr>
          <w:p w14:paraId="5FC92B40" w14:textId="77777777" w:rsidR="00810AB7" w:rsidRPr="00810AB7" w:rsidRDefault="00810AB7" w:rsidP="00810AB7">
            <w:pPr>
              <w:spacing w:line="240" w:lineRule="auto"/>
              <w:jc w:val="right"/>
              <w:rPr>
                <w:rFonts w:ascii="Calibri" w:eastAsia="Times New Roman" w:hAnsi="Calibri" w:cs="Times New Roman"/>
                <w:b/>
                <w:bCs/>
                <w:color w:val="000000"/>
                <w:szCs w:val="22"/>
                <w:lang w:eastAsia="en-GB"/>
              </w:rPr>
            </w:pPr>
            <w:r w:rsidRPr="00810AB7">
              <w:rPr>
                <w:rFonts w:ascii="Calibri" w:eastAsia="Times New Roman" w:hAnsi="Calibri" w:cs="Times New Roman"/>
                <w:b/>
                <w:bCs/>
                <w:color w:val="000000"/>
                <w:szCs w:val="22"/>
                <w:lang w:eastAsia="en-GB"/>
              </w:rPr>
              <w:t>20.4%</w:t>
            </w:r>
          </w:p>
        </w:tc>
        <w:tc>
          <w:tcPr>
            <w:tcW w:w="940" w:type="dxa"/>
            <w:tcBorders>
              <w:top w:val="single" w:sz="4" w:space="0" w:color="auto"/>
            </w:tcBorders>
            <w:shd w:val="clear" w:color="auto" w:fill="auto"/>
            <w:noWrap/>
            <w:vAlign w:val="bottom"/>
            <w:hideMark/>
          </w:tcPr>
          <w:p w14:paraId="438D28F7"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12.1%</w:t>
            </w:r>
          </w:p>
        </w:tc>
        <w:tc>
          <w:tcPr>
            <w:tcW w:w="940" w:type="dxa"/>
            <w:tcBorders>
              <w:top w:val="single" w:sz="4" w:space="0" w:color="auto"/>
            </w:tcBorders>
            <w:shd w:val="clear" w:color="auto" w:fill="auto"/>
            <w:noWrap/>
            <w:vAlign w:val="bottom"/>
            <w:hideMark/>
          </w:tcPr>
          <w:p w14:paraId="19696918"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11.6%</w:t>
            </w:r>
          </w:p>
        </w:tc>
        <w:tc>
          <w:tcPr>
            <w:tcW w:w="1024" w:type="dxa"/>
            <w:tcBorders>
              <w:top w:val="single" w:sz="4" w:space="0" w:color="auto"/>
            </w:tcBorders>
            <w:shd w:val="clear" w:color="auto" w:fill="auto"/>
            <w:noWrap/>
            <w:vAlign w:val="bottom"/>
            <w:hideMark/>
          </w:tcPr>
          <w:p w14:paraId="7BF17DA1"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10.3%</w:t>
            </w:r>
          </w:p>
        </w:tc>
        <w:tc>
          <w:tcPr>
            <w:tcW w:w="941" w:type="dxa"/>
            <w:tcBorders>
              <w:top w:val="single" w:sz="4" w:space="0" w:color="auto"/>
            </w:tcBorders>
            <w:shd w:val="clear" w:color="auto" w:fill="auto"/>
            <w:noWrap/>
            <w:vAlign w:val="bottom"/>
            <w:hideMark/>
          </w:tcPr>
          <w:p w14:paraId="7A6D875D"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11.0%</w:t>
            </w:r>
          </w:p>
        </w:tc>
        <w:tc>
          <w:tcPr>
            <w:tcW w:w="940" w:type="dxa"/>
            <w:tcBorders>
              <w:top w:val="single" w:sz="4" w:space="0" w:color="auto"/>
            </w:tcBorders>
            <w:shd w:val="clear" w:color="auto" w:fill="auto"/>
            <w:noWrap/>
            <w:vAlign w:val="bottom"/>
            <w:hideMark/>
          </w:tcPr>
          <w:p w14:paraId="56EF00FB"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10.1%</w:t>
            </w:r>
          </w:p>
        </w:tc>
      </w:tr>
      <w:tr w:rsidR="00810AB7" w:rsidRPr="00810AB7" w14:paraId="31CD363F" w14:textId="77777777" w:rsidTr="00734191">
        <w:trPr>
          <w:trHeight w:val="288"/>
          <w:jc w:val="center"/>
        </w:trPr>
        <w:tc>
          <w:tcPr>
            <w:tcW w:w="2900" w:type="dxa"/>
            <w:shd w:val="clear" w:color="auto" w:fill="auto"/>
            <w:noWrap/>
            <w:vAlign w:val="bottom"/>
            <w:hideMark/>
          </w:tcPr>
          <w:p w14:paraId="308B5DA5"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Claimants of that benefit</w:t>
            </w:r>
          </w:p>
        </w:tc>
        <w:tc>
          <w:tcPr>
            <w:tcW w:w="960" w:type="dxa"/>
            <w:shd w:val="clear" w:color="auto" w:fill="auto"/>
            <w:noWrap/>
            <w:vAlign w:val="bottom"/>
            <w:hideMark/>
          </w:tcPr>
          <w:p w14:paraId="6D9444A7" w14:textId="77777777" w:rsidR="00810AB7" w:rsidRPr="00810AB7" w:rsidRDefault="00810AB7" w:rsidP="00810AB7">
            <w:pPr>
              <w:spacing w:line="240" w:lineRule="auto"/>
              <w:jc w:val="right"/>
              <w:rPr>
                <w:rFonts w:ascii="Calibri" w:eastAsia="Times New Roman" w:hAnsi="Calibri" w:cs="Times New Roman"/>
                <w:b/>
                <w:bCs/>
                <w:color w:val="000000"/>
                <w:szCs w:val="22"/>
                <w:lang w:eastAsia="en-GB"/>
              </w:rPr>
            </w:pPr>
            <w:r w:rsidRPr="00810AB7">
              <w:rPr>
                <w:rFonts w:ascii="Calibri" w:eastAsia="Times New Roman" w:hAnsi="Calibri" w:cs="Times New Roman"/>
                <w:b/>
                <w:bCs/>
                <w:color w:val="000000"/>
                <w:szCs w:val="22"/>
                <w:lang w:eastAsia="en-GB"/>
              </w:rPr>
              <w:t>8.7%</w:t>
            </w:r>
          </w:p>
        </w:tc>
        <w:tc>
          <w:tcPr>
            <w:tcW w:w="940" w:type="dxa"/>
            <w:shd w:val="clear" w:color="auto" w:fill="auto"/>
            <w:noWrap/>
            <w:vAlign w:val="bottom"/>
            <w:hideMark/>
          </w:tcPr>
          <w:p w14:paraId="6C1A9FF8"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5.8%</w:t>
            </w:r>
          </w:p>
        </w:tc>
        <w:tc>
          <w:tcPr>
            <w:tcW w:w="940" w:type="dxa"/>
            <w:shd w:val="clear" w:color="auto" w:fill="auto"/>
            <w:noWrap/>
            <w:vAlign w:val="bottom"/>
            <w:hideMark/>
          </w:tcPr>
          <w:p w14:paraId="5477DD1C"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9.7%</w:t>
            </w:r>
          </w:p>
        </w:tc>
        <w:tc>
          <w:tcPr>
            <w:tcW w:w="1024" w:type="dxa"/>
            <w:shd w:val="clear" w:color="auto" w:fill="auto"/>
            <w:noWrap/>
            <w:vAlign w:val="bottom"/>
            <w:hideMark/>
          </w:tcPr>
          <w:p w14:paraId="156A6A4B"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10.4%</w:t>
            </w:r>
          </w:p>
        </w:tc>
        <w:tc>
          <w:tcPr>
            <w:tcW w:w="941" w:type="dxa"/>
            <w:shd w:val="clear" w:color="auto" w:fill="auto"/>
            <w:noWrap/>
            <w:vAlign w:val="bottom"/>
            <w:hideMark/>
          </w:tcPr>
          <w:p w14:paraId="2E7C8109"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6.4%</w:t>
            </w:r>
          </w:p>
        </w:tc>
        <w:tc>
          <w:tcPr>
            <w:tcW w:w="940" w:type="dxa"/>
            <w:shd w:val="clear" w:color="auto" w:fill="auto"/>
            <w:noWrap/>
            <w:vAlign w:val="bottom"/>
            <w:hideMark/>
          </w:tcPr>
          <w:p w14:paraId="796EFC2D"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6.8%</w:t>
            </w:r>
          </w:p>
        </w:tc>
      </w:tr>
      <w:tr w:rsidR="00810AB7" w:rsidRPr="00810AB7" w14:paraId="2ABB5BE4" w14:textId="77777777" w:rsidTr="00734191">
        <w:trPr>
          <w:trHeight w:val="288"/>
          <w:jc w:val="center"/>
        </w:trPr>
        <w:tc>
          <w:tcPr>
            <w:tcW w:w="2900" w:type="dxa"/>
            <w:shd w:val="clear" w:color="auto" w:fill="auto"/>
            <w:noWrap/>
            <w:vAlign w:val="bottom"/>
          </w:tcPr>
          <w:p w14:paraId="28A6D7F2" w14:textId="77777777" w:rsidR="00810AB7" w:rsidRPr="00810AB7" w:rsidRDefault="00810AB7" w:rsidP="00810AB7">
            <w:pPr>
              <w:spacing w:line="240" w:lineRule="auto"/>
              <w:rPr>
                <w:rFonts w:ascii="Calibri" w:eastAsia="Times New Roman" w:hAnsi="Calibri" w:cs="Times New Roman"/>
                <w:szCs w:val="22"/>
                <w:lang w:eastAsia="en-GB"/>
              </w:rPr>
            </w:pPr>
          </w:p>
        </w:tc>
        <w:tc>
          <w:tcPr>
            <w:tcW w:w="960" w:type="dxa"/>
            <w:shd w:val="clear" w:color="auto" w:fill="auto"/>
            <w:noWrap/>
            <w:vAlign w:val="bottom"/>
          </w:tcPr>
          <w:p w14:paraId="23B71637" w14:textId="77777777" w:rsidR="00810AB7" w:rsidRPr="00810AB7" w:rsidRDefault="00810AB7" w:rsidP="00810AB7">
            <w:pPr>
              <w:spacing w:line="240" w:lineRule="auto"/>
              <w:jc w:val="right"/>
              <w:rPr>
                <w:rFonts w:ascii="Calibri" w:eastAsia="Times New Roman" w:hAnsi="Calibri" w:cs="Times New Roman"/>
                <w:b/>
                <w:bCs/>
                <w:color w:val="000000"/>
                <w:szCs w:val="22"/>
                <w:lang w:eastAsia="en-GB"/>
              </w:rPr>
            </w:pPr>
          </w:p>
        </w:tc>
        <w:tc>
          <w:tcPr>
            <w:tcW w:w="940" w:type="dxa"/>
            <w:shd w:val="clear" w:color="auto" w:fill="auto"/>
            <w:noWrap/>
            <w:vAlign w:val="bottom"/>
          </w:tcPr>
          <w:p w14:paraId="41DBF168"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940" w:type="dxa"/>
            <w:shd w:val="clear" w:color="auto" w:fill="auto"/>
            <w:noWrap/>
            <w:vAlign w:val="bottom"/>
          </w:tcPr>
          <w:p w14:paraId="2DC8E9D1"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1024" w:type="dxa"/>
            <w:shd w:val="clear" w:color="auto" w:fill="auto"/>
            <w:noWrap/>
            <w:vAlign w:val="bottom"/>
          </w:tcPr>
          <w:p w14:paraId="0FBEB1E6"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941" w:type="dxa"/>
            <w:shd w:val="clear" w:color="auto" w:fill="auto"/>
            <w:noWrap/>
            <w:vAlign w:val="bottom"/>
          </w:tcPr>
          <w:p w14:paraId="21BB7629"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940" w:type="dxa"/>
            <w:shd w:val="clear" w:color="auto" w:fill="auto"/>
            <w:noWrap/>
            <w:vAlign w:val="bottom"/>
          </w:tcPr>
          <w:p w14:paraId="2FB0BFD0"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r>
      <w:tr w:rsidR="00810AB7" w:rsidRPr="00810AB7" w14:paraId="3C7CB6BA" w14:textId="77777777" w:rsidTr="00734191">
        <w:trPr>
          <w:trHeight w:val="576"/>
          <w:jc w:val="center"/>
        </w:trPr>
        <w:tc>
          <w:tcPr>
            <w:tcW w:w="2900" w:type="dxa"/>
            <w:tcBorders>
              <w:bottom w:val="single" w:sz="4" w:space="0" w:color="auto"/>
            </w:tcBorders>
            <w:shd w:val="clear" w:color="auto" w:fill="auto"/>
            <w:noWrap/>
            <w:vAlign w:val="bottom"/>
            <w:hideMark/>
          </w:tcPr>
          <w:p w14:paraId="70C0FEAF" w14:textId="77777777" w:rsidR="00810AB7" w:rsidRPr="00810AB7" w:rsidRDefault="00810AB7" w:rsidP="00810AB7">
            <w:pPr>
              <w:spacing w:line="240" w:lineRule="auto"/>
              <w:rPr>
                <w:rFonts w:ascii="Calibri" w:eastAsia="Times New Roman" w:hAnsi="Calibri" w:cs="Times New Roman"/>
                <w:b/>
                <w:bCs/>
                <w:i/>
                <w:iCs/>
                <w:szCs w:val="22"/>
                <w:lang w:eastAsia="en-GB"/>
              </w:rPr>
            </w:pPr>
            <w:r w:rsidRPr="00810AB7">
              <w:rPr>
                <w:rFonts w:ascii="Calibri" w:eastAsia="Times New Roman" w:hAnsi="Calibri" w:cs="Times New Roman"/>
                <w:b/>
                <w:bCs/>
                <w:i/>
                <w:iCs/>
                <w:szCs w:val="22"/>
                <w:lang w:eastAsia="en-GB"/>
              </w:rPr>
              <w:t>Stigmatisation (others)</w:t>
            </w:r>
          </w:p>
        </w:tc>
        <w:tc>
          <w:tcPr>
            <w:tcW w:w="960" w:type="dxa"/>
            <w:tcBorders>
              <w:bottom w:val="single" w:sz="4" w:space="0" w:color="auto"/>
            </w:tcBorders>
            <w:shd w:val="clear" w:color="auto" w:fill="auto"/>
            <w:noWrap/>
            <w:vAlign w:val="center"/>
            <w:hideMark/>
          </w:tcPr>
          <w:p w14:paraId="36F77D01" w14:textId="77777777" w:rsidR="00810AB7" w:rsidRPr="00810AB7" w:rsidRDefault="00810AB7" w:rsidP="00810AB7">
            <w:pPr>
              <w:spacing w:line="240" w:lineRule="auto"/>
              <w:jc w:val="center"/>
              <w:rPr>
                <w:rFonts w:ascii="Calibri" w:eastAsia="Times New Roman" w:hAnsi="Calibri" w:cs="Times New Roman"/>
                <w:b/>
                <w:bCs/>
                <w:szCs w:val="22"/>
                <w:vertAlign w:val="superscript"/>
                <w:lang w:eastAsia="en-GB"/>
              </w:rPr>
            </w:pPr>
            <w:r w:rsidRPr="00810AB7">
              <w:rPr>
                <w:rFonts w:ascii="Calibri" w:eastAsia="Times New Roman" w:hAnsi="Calibri" w:cs="Times New Roman"/>
                <w:b/>
                <w:bCs/>
                <w:szCs w:val="22"/>
                <w:lang w:eastAsia="en-GB"/>
              </w:rPr>
              <w:t xml:space="preserve">All </w:t>
            </w:r>
            <w:r w:rsidRPr="00810AB7">
              <w:rPr>
                <w:rFonts w:ascii="Calibri" w:eastAsia="Times New Roman" w:hAnsi="Calibri" w:cs="Times New Roman"/>
                <w:b/>
                <w:bCs/>
                <w:szCs w:val="22"/>
                <w:vertAlign w:val="superscript"/>
                <w:lang w:eastAsia="en-GB"/>
              </w:rPr>
              <w:t>1</w:t>
            </w:r>
          </w:p>
        </w:tc>
        <w:tc>
          <w:tcPr>
            <w:tcW w:w="940" w:type="dxa"/>
            <w:tcBorders>
              <w:bottom w:val="single" w:sz="4" w:space="0" w:color="auto"/>
            </w:tcBorders>
            <w:shd w:val="clear" w:color="auto" w:fill="auto"/>
            <w:vAlign w:val="center"/>
            <w:hideMark/>
          </w:tcPr>
          <w:p w14:paraId="4F836BC0"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Single </w:t>
            </w:r>
            <w:r w:rsidRPr="00810AB7">
              <w:rPr>
                <w:rFonts w:ascii="Calibri" w:eastAsia="Times New Roman" w:hAnsi="Calibri" w:cs="Times New Roman"/>
                <w:szCs w:val="22"/>
                <w:lang w:eastAsia="en-GB"/>
              </w:rPr>
              <w:br/>
              <w:t>parents</w:t>
            </w:r>
          </w:p>
        </w:tc>
        <w:tc>
          <w:tcPr>
            <w:tcW w:w="940" w:type="dxa"/>
            <w:tcBorders>
              <w:bottom w:val="single" w:sz="4" w:space="0" w:color="auto"/>
            </w:tcBorders>
            <w:shd w:val="clear" w:color="auto" w:fill="auto"/>
            <w:vAlign w:val="center"/>
            <w:hideMark/>
          </w:tcPr>
          <w:p w14:paraId="7FC97D29"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Unemp</w:t>
            </w:r>
            <w:r w:rsidRPr="00810AB7">
              <w:rPr>
                <w:rFonts w:ascii="Calibri" w:eastAsia="Times New Roman" w:hAnsi="Calibri" w:cs="Times New Roman"/>
                <w:szCs w:val="22"/>
                <w:lang w:eastAsia="en-GB"/>
              </w:rPr>
              <w:br/>
              <w:t>-loyed</w:t>
            </w:r>
          </w:p>
        </w:tc>
        <w:tc>
          <w:tcPr>
            <w:tcW w:w="1024" w:type="dxa"/>
            <w:tcBorders>
              <w:bottom w:val="single" w:sz="4" w:space="0" w:color="auto"/>
            </w:tcBorders>
            <w:shd w:val="clear" w:color="auto" w:fill="auto"/>
            <w:vAlign w:val="center"/>
            <w:hideMark/>
          </w:tcPr>
          <w:p w14:paraId="6FD39AFB"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Incapacit</w:t>
            </w:r>
            <w:r w:rsidRPr="00810AB7">
              <w:rPr>
                <w:rFonts w:ascii="Calibri" w:eastAsia="Times New Roman" w:hAnsi="Calibri" w:cs="Times New Roman"/>
                <w:szCs w:val="22"/>
                <w:lang w:eastAsia="en-GB"/>
              </w:rPr>
              <w:br/>
              <w:t>-ated</w:t>
            </w:r>
          </w:p>
        </w:tc>
        <w:tc>
          <w:tcPr>
            <w:tcW w:w="941" w:type="dxa"/>
            <w:tcBorders>
              <w:bottom w:val="single" w:sz="4" w:space="0" w:color="auto"/>
            </w:tcBorders>
            <w:shd w:val="clear" w:color="auto" w:fill="auto"/>
            <w:vAlign w:val="center"/>
            <w:hideMark/>
          </w:tcPr>
          <w:p w14:paraId="23ED9096"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Housing</w:t>
            </w:r>
            <w:r w:rsidRPr="00810AB7">
              <w:rPr>
                <w:rFonts w:ascii="Calibri" w:eastAsia="Times New Roman" w:hAnsi="Calibri" w:cs="Times New Roman"/>
                <w:szCs w:val="22"/>
                <w:lang w:eastAsia="en-GB"/>
              </w:rPr>
              <w:br/>
              <w:t>Benefit</w:t>
            </w:r>
          </w:p>
        </w:tc>
        <w:tc>
          <w:tcPr>
            <w:tcW w:w="940" w:type="dxa"/>
            <w:tcBorders>
              <w:bottom w:val="single" w:sz="4" w:space="0" w:color="auto"/>
            </w:tcBorders>
            <w:shd w:val="clear" w:color="auto" w:fill="auto"/>
            <w:vAlign w:val="center"/>
            <w:hideMark/>
          </w:tcPr>
          <w:p w14:paraId="6BD098A4"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Tax </w:t>
            </w:r>
            <w:r w:rsidRPr="00810AB7">
              <w:rPr>
                <w:rFonts w:ascii="Calibri" w:eastAsia="Times New Roman" w:hAnsi="Calibri" w:cs="Times New Roman"/>
                <w:szCs w:val="22"/>
                <w:lang w:eastAsia="en-GB"/>
              </w:rPr>
              <w:br/>
              <w:t>Credits</w:t>
            </w:r>
          </w:p>
        </w:tc>
      </w:tr>
      <w:tr w:rsidR="00810AB7" w:rsidRPr="00810AB7" w14:paraId="17077005" w14:textId="77777777" w:rsidTr="00734191">
        <w:trPr>
          <w:trHeight w:val="288"/>
          <w:jc w:val="center"/>
        </w:trPr>
        <w:tc>
          <w:tcPr>
            <w:tcW w:w="2900" w:type="dxa"/>
            <w:tcBorders>
              <w:top w:val="single" w:sz="4" w:space="0" w:color="auto"/>
            </w:tcBorders>
            <w:shd w:val="clear" w:color="auto" w:fill="auto"/>
            <w:noWrap/>
            <w:vAlign w:val="bottom"/>
            <w:hideMark/>
          </w:tcPr>
          <w:p w14:paraId="177ACDA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Overall</w:t>
            </w:r>
          </w:p>
        </w:tc>
        <w:tc>
          <w:tcPr>
            <w:tcW w:w="960" w:type="dxa"/>
            <w:tcBorders>
              <w:top w:val="single" w:sz="4" w:space="0" w:color="auto"/>
            </w:tcBorders>
            <w:shd w:val="clear" w:color="auto" w:fill="auto"/>
            <w:noWrap/>
            <w:vAlign w:val="bottom"/>
            <w:hideMark/>
          </w:tcPr>
          <w:p w14:paraId="5D30F9A1" w14:textId="77777777" w:rsidR="00810AB7" w:rsidRPr="00810AB7" w:rsidRDefault="00810AB7" w:rsidP="00810AB7">
            <w:pPr>
              <w:spacing w:line="240" w:lineRule="auto"/>
              <w:jc w:val="right"/>
              <w:rPr>
                <w:rFonts w:ascii="Calibri" w:eastAsia="Times New Roman" w:hAnsi="Calibri" w:cs="Times New Roman"/>
                <w:b/>
                <w:bCs/>
                <w:color w:val="000000"/>
                <w:szCs w:val="22"/>
                <w:lang w:eastAsia="en-GB"/>
              </w:rPr>
            </w:pPr>
            <w:r w:rsidRPr="00810AB7">
              <w:rPr>
                <w:rFonts w:ascii="Calibri" w:eastAsia="Times New Roman" w:hAnsi="Calibri" w:cs="Times New Roman"/>
                <w:b/>
                <w:bCs/>
                <w:color w:val="000000"/>
                <w:szCs w:val="22"/>
                <w:lang w:eastAsia="en-GB"/>
              </w:rPr>
              <w:t>27.2%</w:t>
            </w:r>
          </w:p>
        </w:tc>
        <w:tc>
          <w:tcPr>
            <w:tcW w:w="940" w:type="dxa"/>
            <w:tcBorders>
              <w:top w:val="single" w:sz="4" w:space="0" w:color="auto"/>
            </w:tcBorders>
            <w:shd w:val="clear" w:color="auto" w:fill="auto"/>
            <w:noWrap/>
            <w:vAlign w:val="bottom"/>
            <w:hideMark/>
          </w:tcPr>
          <w:p w14:paraId="3AE56D88"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19.1%</w:t>
            </w:r>
          </w:p>
        </w:tc>
        <w:tc>
          <w:tcPr>
            <w:tcW w:w="940" w:type="dxa"/>
            <w:tcBorders>
              <w:top w:val="single" w:sz="4" w:space="0" w:color="auto"/>
            </w:tcBorders>
            <w:shd w:val="clear" w:color="auto" w:fill="auto"/>
            <w:noWrap/>
            <w:vAlign w:val="bottom"/>
            <w:hideMark/>
          </w:tcPr>
          <w:p w14:paraId="0EA7BE4B"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18.5%</w:t>
            </w:r>
          </w:p>
        </w:tc>
        <w:tc>
          <w:tcPr>
            <w:tcW w:w="1024" w:type="dxa"/>
            <w:tcBorders>
              <w:top w:val="single" w:sz="4" w:space="0" w:color="auto"/>
            </w:tcBorders>
            <w:shd w:val="clear" w:color="auto" w:fill="auto"/>
            <w:noWrap/>
            <w:vAlign w:val="bottom"/>
            <w:hideMark/>
          </w:tcPr>
          <w:p w14:paraId="543C0C73"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17.0%</w:t>
            </w:r>
          </w:p>
        </w:tc>
        <w:tc>
          <w:tcPr>
            <w:tcW w:w="941" w:type="dxa"/>
            <w:tcBorders>
              <w:top w:val="single" w:sz="4" w:space="0" w:color="auto"/>
            </w:tcBorders>
            <w:shd w:val="clear" w:color="auto" w:fill="auto"/>
            <w:noWrap/>
            <w:vAlign w:val="bottom"/>
            <w:hideMark/>
          </w:tcPr>
          <w:p w14:paraId="1EB68360"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18.8%</w:t>
            </w:r>
          </w:p>
        </w:tc>
        <w:tc>
          <w:tcPr>
            <w:tcW w:w="940" w:type="dxa"/>
            <w:tcBorders>
              <w:top w:val="single" w:sz="4" w:space="0" w:color="auto"/>
            </w:tcBorders>
            <w:shd w:val="clear" w:color="auto" w:fill="auto"/>
            <w:noWrap/>
            <w:vAlign w:val="bottom"/>
            <w:hideMark/>
          </w:tcPr>
          <w:p w14:paraId="5ADACD6B"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16.0%</w:t>
            </w:r>
          </w:p>
        </w:tc>
      </w:tr>
      <w:tr w:rsidR="00810AB7" w:rsidRPr="00810AB7" w14:paraId="55AA4519" w14:textId="77777777" w:rsidTr="00734191">
        <w:trPr>
          <w:trHeight w:val="288"/>
          <w:jc w:val="center"/>
        </w:trPr>
        <w:tc>
          <w:tcPr>
            <w:tcW w:w="2900" w:type="dxa"/>
            <w:shd w:val="clear" w:color="auto" w:fill="auto"/>
            <w:noWrap/>
            <w:vAlign w:val="bottom"/>
            <w:hideMark/>
          </w:tcPr>
          <w:p w14:paraId="136123BF"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Claimants of that benefit</w:t>
            </w:r>
          </w:p>
        </w:tc>
        <w:tc>
          <w:tcPr>
            <w:tcW w:w="960" w:type="dxa"/>
            <w:shd w:val="clear" w:color="auto" w:fill="auto"/>
            <w:noWrap/>
            <w:vAlign w:val="bottom"/>
            <w:hideMark/>
          </w:tcPr>
          <w:p w14:paraId="10A50525" w14:textId="77777777" w:rsidR="00810AB7" w:rsidRPr="00810AB7" w:rsidRDefault="00810AB7" w:rsidP="00810AB7">
            <w:pPr>
              <w:spacing w:line="240" w:lineRule="auto"/>
              <w:jc w:val="right"/>
              <w:rPr>
                <w:rFonts w:ascii="Calibri" w:eastAsia="Times New Roman" w:hAnsi="Calibri" w:cs="Times New Roman"/>
                <w:b/>
                <w:bCs/>
                <w:color w:val="000000"/>
                <w:szCs w:val="22"/>
                <w:lang w:eastAsia="en-GB"/>
              </w:rPr>
            </w:pPr>
            <w:r w:rsidRPr="00810AB7">
              <w:rPr>
                <w:rFonts w:ascii="Calibri" w:eastAsia="Times New Roman" w:hAnsi="Calibri" w:cs="Times New Roman"/>
                <w:b/>
                <w:bCs/>
                <w:color w:val="000000"/>
                <w:szCs w:val="22"/>
                <w:lang w:eastAsia="en-GB"/>
              </w:rPr>
              <w:t>20.6%</w:t>
            </w:r>
          </w:p>
        </w:tc>
        <w:tc>
          <w:tcPr>
            <w:tcW w:w="940" w:type="dxa"/>
            <w:shd w:val="clear" w:color="auto" w:fill="auto"/>
            <w:noWrap/>
            <w:vAlign w:val="bottom"/>
            <w:hideMark/>
          </w:tcPr>
          <w:p w14:paraId="25C31D1B"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18.3%</w:t>
            </w:r>
          </w:p>
        </w:tc>
        <w:tc>
          <w:tcPr>
            <w:tcW w:w="940" w:type="dxa"/>
            <w:shd w:val="clear" w:color="auto" w:fill="auto"/>
            <w:noWrap/>
            <w:vAlign w:val="bottom"/>
            <w:hideMark/>
          </w:tcPr>
          <w:p w14:paraId="49406548"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23.0%</w:t>
            </w:r>
          </w:p>
        </w:tc>
        <w:tc>
          <w:tcPr>
            <w:tcW w:w="1024" w:type="dxa"/>
            <w:shd w:val="clear" w:color="auto" w:fill="auto"/>
            <w:noWrap/>
            <w:vAlign w:val="bottom"/>
            <w:hideMark/>
          </w:tcPr>
          <w:p w14:paraId="467A5824"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22.3%</w:t>
            </w:r>
          </w:p>
        </w:tc>
        <w:tc>
          <w:tcPr>
            <w:tcW w:w="941" w:type="dxa"/>
            <w:shd w:val="clear" w:color="auto" w:fill="auto"/>
            <w:noWrap/>
            <w:vAlign w:val="bottom"/>
            <w:hideMark/>
          </w:tcPr>
          <w:p w14:paraId="5E9446E0"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19.7%</w:t>
            </w:r>
          </w:p>
        </w:tc>
        <w:tc>
          <w:tcPr>
            <w:tcW w:w="940" w:type="dxa"/>
            <w:shd w:val="clear" w:color="auto" w:fill="auto"/>
            <w:noWrap/>
            <w:vAlign w:val="bottom"/>
            <w:hideMark/>
          </w:tcPr>
          <w:p w14:paraId="796FEB7E"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18.6%</w:t>
            </w:r>
          </w:p>
        </w:tc>
      </w:tr>
      <w:tr w:rsidR="00810AB7" w:rsidRPr="00810AB7" w14:paraId="25AB659C" w14:textId="77777777" w:rsidTr="00734191">
        <w:trPr>
          <w:trHeight w:val="288"/>
          <w:jc w:val="center"/>
        </w:trPr>
        <w:tc>
          <w:tcPr>
            <w:tcW w:w="2900" w:type="dxa"/>
            <w:shd w:val="clear" w:color="auto" w:fill="auto"/>
            <w:noWrap/>
            <w:vAlign w:val="bottom"/>
          </w:tcPr>
          <w:p w14:paraId="0029A162" w14:textId="77777777" w:rsidR="00810AB7" w:rsidRPr="00810AB7" w:rsidRDefault="00810AB7" w:rsidP="00810AB7">
            <w:pPr>
              <w:spacing w:line="240" w:lineRule="auto"/>
              <w:rPr>
                <w:rFonts w:ascii="Calibri" w:eastAsia="Times New Roman" w:hAnsi="Calibri" w:cs="Times New Roman"/>
                <w:szCs w:val="22"/>
                <w:lang w:eastAsia="en-GB"/>
              </w:rPr>
            </w:pPr>
          </w:p>
        </w:tc>
        <w:tc>
          <w:tcPr>
            <w:tcW w:w="960" w:type="dxa"/>
            <w:shd w:val="clear" w:color="auto" w:fill="auto"/>
            <w:noWrap/>
            <w:vAlign w:val="bottom"/>
          </w:tcPr>
          <w:p w14:paraId="5820E326" w14:textId="77777777" w:rsidR="00810AB7" w:rsidRPr="00810AB7" w:rsidRDefault="00810AB7" w:rsidP="00810AB7">
            <w:pPr>
              <w:spacing w:line="240" w:lineRule="auto"/>
              <w:jc w:val="right"/>
              <w:rPr>
                <w:rFonts w:ascii="Calibri" w:eastAsia="Times New Roman" w:hAnsi="Calibri" w:cs="Times New Roman"/>
                <w:b/>
                <w:bCs/>
                <w:color w:val="000000"/>
                <w:szCs w:val="22"/>
                <w:lang w:eastAsia="en-GB"/>
              </w:rPr>
            </w:pPr>
          </w:p>
        </w:tc>
        <w:tc>
          <w:tcPr>
            <w:tcW w:w="940" w:type="dxa"/>
            <w:shd w:val="clear" w:color="auto" w:fill="auto"/>
            <w:noWrap/>
            <w:vAlign w:val="bottom"/>
          </w:tcPr>
          <w:p w14:paraId="00B70BA4"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940" w:type="dxa"/>
            <w:shd w:val="clear" w:color="auto" w:fill="auto"/>
            <w:noWrap/>
            <w:vAlign w:val="bottom"/>
          </w:tcPr>
          <w:p w14:paraId="0946447C"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1024" w:type="dxa"/>
            <w:shd w:val="clear" w:color="auto" w:fill="auto"/>
            <w:noWrap/>
            <w:vAlign w:val="bottom"/>
          </w:tcPr>
          <w:p w14:paraId="67BDFB79"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941" w:type="dxa"/>
            <w:shd w:val="clear" w:color="auto" w:fill="auto"/>
            <w:noWrap/>
            <w:vAlign w:val="bottom"/>
          </w:tcPr>
          <w:p w14:paraId="7E653FA9"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c>
          <w:tcPr>
            <w:tcW w:w="940" w:type="dxa"/>
            <w:shd w:val="clear" w:color="auto" w:fill="auto"/>
            <w:noWrap/>
            <w:vAlign w:val="bottom"/>
          </w:tcPr>
          <w:p w14:paraId="0D4831CE"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p>
        </w:tc>
      </w:tr>
      <w:tr w:rsidR="00810AB7" w:rsidRPr="00810AB7" w14:paraId="088B7CA1" w14:textId="77777777" w:rsidTr="00734191">
        <w:trPr>
          <w:trHeight w:val="288"/>
          <w:jc w:val="center"/>
        </w:trPr>
        <w:tc>
          <w:tcPr>
            <w:tcW w:w="2900" w:type="dxa"/>
            <w:tcBorders>
              <w:bottom w:val="single" w:sz="4" w:space="0" w:color="auto"/>
            </w:tcBorders>
            <w:shd w:val="clear" w:color="auto" w:fill="auto"/>
            <w:noWrap/>
            <w:vAlign w:val="bottom"/>
            <w:hideMark/>
          </w:tcPr>
          <w:p w14:paraId="3B65C6DF" w14:textId="77777777" w:rsidR="00810AB7" w:rsidRPr="00810AB7" w:rsidRDefault="00810AB7" w:rsidP="00810AB7">
            <w:pPr>
              <w:spacing w:line="240" w:lineRule="auto"/>
              <w:jc w:val="right"/>
              <w:rPr>
                <w:rFonts w:ascii="Calibri" w:eastAsia="Times New Roman" w:hAnsi="Calibri" w:cs="Times New Roman"/>
                <w:i/>
                <w:iCs/>
                <w:szCs w:val="22"/>
                <w:lang w:eastAsia="en-GB"/>
              </w:rPr>
            </w:pPr>
            <w:r w:rsidRPr="00810AB7">
              <w:rPr>
                <w:rFonts w:ascii="Calibri" w:eastAsia="Times New Roman" w:hAnsi="Calibri" w:cs="Times New Roman"/>
                <w:i/>
                <w:iCs/>
                <w:szCs w:val="22"/>
                <w:lang w:eastAsia="en-GB"/>
              </w:rPr>
              <w:t>n (claimants)</w:t>
            </w:r>
          </w:p>
        </w:tc>
        <w:tc>
          <w:tcPr>
            <w:tcW w:w="960" w:type="dxa"/>
            <w:tcBorders>
              <w:bottom w:val="single" w:sz="4" w:space="0" w:color="auto"/>
            </w:tcBorders>
            <w:shd w:val="clear" w:color="auto" w:fill="auto"/>
            <w:noWrap/>
            <w:vAlign w:val="bottom"/>
            <w:hideMark/>
          </w:tcPr>
          <w:p w14:paraId="4A8B3180" w14:textId="77777777" w:rsidR="00810AB7" w:rsidRPr="00810AB7" w:rsidRDefault="00810AB7" w:rsidP="00810AB7">
            <w:pPr>
              <w:spacing w:line="240" w:lineRule="auto"/>
              <w:jc w:val="right"/>
              <w:rPr>
                <w:rFonts w:ascii="Calibri" w:eastAsia="Times New Roman" w:hAnsi="Calibri" w:cs="Times New Roman"/>
                <w:i/>
                <w:iCs/>
                <w:color w:val="000000"/>
                <w:szCs w:val="22"/>
                <w:vertAlign w:val="superscript"/>
                <w:lang w:eastAsia="en-GB"/>
              </w:rPr>
            </w:pPr>
            <w:r w:rsidRPr="00810AB7">
              <w:rPr>
                <w:rFonts w:ascii="Calibri" w:eastAsia="Times New Roman" w:hAnsi="Calibri" w:cs="Times New Roman"/>
                <w:i/>
                <w:iCs/>
                <w:color w:val="000000"/>
                <w:szCs w:val="22"/>
                <w:lang w:eastAsia="en-GB"/>
              </w:rPr>
              <w:t xml:space="preserve"> 936 </w:t>
            </w:r>
            <w:r w:rsidRPr="00810AB7">
              <w:rPr>
                <w:rFonts w:ascii="Calibri" w:eastAsia="Times New Roman" w:hAnsi="Calibri" w:cs="Times New Roman"/>
                <w:i/>
                <w:iCs/>
                <w:color w:val="000000"/>
                <w:szCs w:val="22"/>
                <w:vertAlign w:val="superscript"/>
                <w:lang w:eastAsia="en-GB"/>
              </w:rPr>
              <w:t>1</w:t>
            </w:r>
          </w:p>
        </w:tc>
        <w:tc>
          <w:tcPr>
            <w:tcW w:w="940" w:type="dxa"/>
            <w:tcBorders>
              <w:bottom w:val="single" w:sz="4" w:space="0" w:color="auto"/>
            </w:tcBorders>
            <w:shd w:val="clear" w:color="auto" w:fill="auto"/>
            <w:noWrap/>
            <w:vAlign w:val="bottom"/>
            <w:hideMark/>
          </w:tcPr>
          <w:p w14:paraId="58F6E932"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 132 </w:t>
            </w:r>
          </w:p>
        </w:tc>
        <w:tc>
          <w:tcPr>
            <w:tcW w:w="940" w:type="dxa"/>
            <w:tcBorders>
              <w:bottom w:val="single" w:sz="4" w:space="0" w:color="auto"/>
            </w:tcBorders>
            <w:shd w:val="clear" w:color="auto" w:fill="auto"/>
            <w:noWrap/>
            <w:vAlign w:val="bottom"/>
            <w:hideMark/>
          </w:tcPr>
          <w:p w14:paraId="135CFA02"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 233 </w:t>
            </w:r>
          </w:p>
        </w:tc>
        <w:tc>
          <w:tcPr>
            <w:tcW w:w="1024" w:type="dxa"/>
            <w:tcBorders>
              <w:bottom w:val="single" w:sz="4" w:space="0" w:color="auto"/>
            </w:tcBorders>
            <w:shd w:val="clear" w:color="auto" w:fill="auto"/>
            <w:noWrap/>
            <w:vAlign w:val="bottom"/>
            <w:hideMark/>
          </w:tcPr>
          <w:p w14:paraId="70EFE635"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 273 </w:t>
            </w:r>
          </w:p>
        </w:tc>
        <w:tc>
          <w:tcPr>
            <w:tcW w:w="941" w:type="dxa"/>
            <w:tcBorders>
              <w:bottom w:val="single" w:sz="4" w:space="0" w:color="auto"/>
            </w:tcBorders>
            <w:shd w:val="clear" w:color="auto" w:fill="auto"/>
            <w:noWrap/>
            <w:vAlign w:val="bottom"/>
            <w:hideMark/>
          </w:tcPr>
          <w:p w14:paraId="3E5F6408"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 454 </w:t>
            </w:r>
          </w:p>
        </w:tc>
        <w:tc>
          <w:tcPr>
            <w:tcW w:w="940" w:type="dxa"/>
            <w:tcBorders>
              <w:bottom w:val="single" w:sz="4" w:space="0" w:color="auto"/>
            </w:tcBorders>
            <w:shd w:val="clear" w:color="auto" w:fill="auto"/>
            <w:noWrap/>
            <w:vAlign w:val="bottom"/>
            <w:hideMark/>
          </w:tcPr>
          <w:p w14:paraId="6C8D6C95"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 290 </w:t>
            </w:r>
          </w:p>
        </w:tc>
      </w:tr>
    </w:tbl>
    <w:p w14:paraId="6A38E090" w14:textId="77777777" w:rsidR="00810AB7" w:rsidRPr="00810AB7" w:rsidRDefault="00810AB7" w:rsidP="00810AB7">
      <w:pPr>
        <w:spacing w:before="60" w:after="240" w:line="240" w:lineRule="auto"/>
        <w:ind w:left="284"/>
        <w:rPr>
          <w:rFonts w:ascii="Calibri" w:eastAsia="Calibri" w:hAnsi="Calibri" w:cs="Times New Roman"/>
          <w:i/>
          <w:sz w:val="20"/>
        </w:rPr>
      </w:pPr>
      <w:r w:rsidRPr="00810AB7">
        <w:rPr>
          <w:rFonts w:ascii="Calibri" w:eastAsia="Calibri" w:hAnsi="Calibri" w:cs="Times New Roman"/>
          <w:i/>
          <w:sz w:val="20"/>
        </w:rPr>
        <w:t xml:space="preserve">Source: Ipsos MORI benefits stigma survey 2012; n(overall)=2478-2517. </w:t>
      </w:r>
      <w:r w:rsidRPr="00810AB7">
        <w:rPr>
          <w:rFonts w:ascii="Calibri" w:eastAsia="Calibri" w:hAnsi="Calibri" w:cs="Times New Roman"/>
          <w:i/>
          <w:sz w:val="20"/>
          <w:vertAlign w:val="superscript"/>
        </w:rPr>
        <w:t>1</w:t>
      </w:r>
      <w:r w:rsidRPr="00810AB7">
        <w:rPr>
          <w:rFonts w:ascii="Calibri" w:eastAsia="Calibri" w:hAnsi="Calibri" w:cs="Times New Roman"/>
          <w:i/>
          <w:sz w:val="20"/>
        </w:rPr>
        <w:t xml:space="preserve"> For claimants, ‘all’=greatest stigma that a respondent reported about a benefit that they claimed.</w:t>
      </w:r>
    </w:p>
    <w:p w14:paraId="230BD75F" w14:textId="77777777" w:rsidR="00810AB7" w:rsidRPr="00810AB7" w:rsidRDefault="00810AB7" w:rsidP="00810AB7">
      <w:pPr>
        <w:spacing w:after="160" w:line="259" w:lineRule="auto"/>
        <w:rPr>
          <w:rFonts w:ascii="Calibri" w:eastAsia="Calibri" w:hAnsi="Calibri" w:cs="Times New Roman"/>
        </w:rPr>
      </w:pPr>
      <w:r w:rsidRPr="00810AB7">
        <w:rPr>
          <w:rFonts w:ascii="Calibri" w:eastAsia="Calibri" w:hAnsi="Calibri" w:cs="Times New Roman"/>
        </w:rPr>
        <w:br w:type="page"/>
      </w:r>
      <w:bookmarkStart w:id="2" w:name="_Ref396114461"/>
    </w:p>
    <w:p w14:paraId="18520FEF" w14:textId="77777777" w:rsidR="00810AB7" w:rsidRPr="00810AB7" w:rsidRDefault="00810AB7" w:rsidP="00810AB7">
      <w:pPr>
        <w:keepNext/>
        <w:spacing w:before="240" w:after="120" w:line="240" w:lineRule="auto"/>
        <w:jc w:val="center"/>
        <w:rPr>
          <w:rFonts w:ascii="Calibri" w:eastAsia="Calibri" w:hAnsi="Calibri" w:cs="Times New Roman"/>
          <w:b/>
          <w:i/>
          <w:iCs/>
          <w:szCs w:val="18"/>
        </w:rPr>
      </w:pPr>
      <w:r w:rsidRPr="00810AB7">
        <w:rPr>
          <w:rFonts w:ascii="Calibri" w:eastAsia="Calibri" w:hAnsi="Calibri" w:cs="Times New Roman"/>
          <w:b/>
          <w:i/>
          <w:iCs/>
          <w:szCs w:val="18"/>
        </w:rPr>
        <w:lastRenderedPageBreak/>
        <w:t xml:space="preserve">Table </w:t>
      </w:r>
      <w:r w:rsidRPr="00810AB7">
        <w:rPr>
          <w:rFonts w:ascii="Calibri" w:eastAsia="Calibri" w:hAnsi="Calibri" w:cs="Times New Roman"/>
          <w:b/>
          <w:i/>
          <w:iCs/>
          <w:szCs w:val="18"/>
        </w:rPr>
        <w:fldChar w:fldCharType="begin"/>
      </w:r>
      <w:r w:rsidRPr="00810AB7">
        <w:rPr>
          <w:rFonts w:ascii="Calibri" w:eastAsia="Calibri" w:hAnsi="Calibri" w:cs="Times New Roman"/>
          <w:b/>
          <w:i/>
          <w:iCs/>
          <w:szCs w:val="18"/>
        </w:rPr>
        <w:instrText xml:space="preserve"> SEQ Table \* ARABIC </w:instrText>
      </w:r>
      <w:r w:rsidRPr="00810AB7">
        <w:rPr>
          <w:rFonts w:ascii="Calibri" w:eastAsia="Calibri" w:hAnsi="Calibri" w:cs="Times New Roman"/>
          <w:b/>
          <w:i/>
          <w:iCs/>
          <w:szCs w:val="18"/>
        </w:rPr>
        <w:fldChar w:fldCharType="separate"/>
      </w:r>
      <w:r w:rsidRPr="00810AB7">
        <w:rPr>
          <w:rFonts w:ascii="Calibri" w:eastAsia="Calibri" w:hAnsi="Calibri" w:cs="Times New Roman"/>
          <w:b/>
          <w:i/>
          <w:iCs/>
          <w:noProof/>
          <w:szCs w:val="18"/>
        </w:rPr>
        <w:t>2</w:t>
      </w:r>
      <w:r w:rsidRPr="00810AB7">
        <w:rPr>
          <w:rFonts w:ascii="Calibri" w:eastAsia="Calibri" w:hAnsi="Calibri" w:cs="Times New Roman"/>
          <w:b/>
          <w:i/>
          <w:iCs/>
          <w:noProof/>
          <w:szCs w:val="18"/>
        </w:rPr>
        <w:fldChar w:fldCharType="end"/>
      </w:r>
      <w:bookmarkEnd w:id="2"/>
      <w:r w:rsidRPr="00810AB7">
        <w:rPr>
          <w:rFonts w:ascii="Calibri" w:eastAsia="Calibri" w:hAnsi="Calibri" w:cs="Times New Roman"/>
          <w:b/>
          <w:i/>
          <w:iCs/>
          <w:szCs w:val="18"/>
        </w:rPr>
        <w:t xml:space="preserve">: </w:t>
      </w:r>
      <w:r w:rsidRPr="00810AB7">
        <w:rPr>
          <w:rFonts w:ascii="Calibri" w:eastAsia="Times New Roman" w:hAnsi="Calibri" w:cs="Times New Roman"/>
          <w:b/>
          <w:bCs/>
          <w:i/>
          <w:iCs/>
          <w:szCs w:val="22"/>
          <w:lang w:eastAsia="en-GB"/>
        </w:rPr>
        <w:t>Stated reasons for not taking-up benefits/tax credits</w:t>
      </w:r>
    </w:p>
    <w:tbl>
      <w:tblPr>
        <w:tblW w:w="8828" w:type="dxa"/>
        <w:jc w:val="center"/>
        <w:tblLook w:val="04A0" w:firstRow="1" w:lastRow="0" w:firstColumn="1" w:lastColumn="0" w:noHBand="0" w:noVBand="1"/>
      </w:tblPr>
      <w:tblGrid>
        <w:gridCol w:w="3188"/>
        <w:gridCol w:w="990"/>
        <w:gridCol w:w="969"/>
        <w:gridCol w:w="969"/>
        <w:gridCol w:w="940"/>
        <w:gridCol w:w="940"/>
        <w:gridCol w:w="940"/>
      </w:tblGrid>
      <w:tr w:rsidR="00810AB7" w:rsidRPr="00810AB7" w14:paraId="2FD16FA9" w14:textId="77777777" w:rsidTr="00734191">
        <w:trPr>
          <w:trHeight w:val="552"/>
          <w:jc w:val="center"/>
        </w:trPr>
        <w:tc>
          <w:tcPr>
            <w:tcW w:w="3188" w:type="dxa"/>
            <w:tcBorders>
              <w:top w:val="single" w:sz="4" w:space="0" w:color="auto"/>
              <w:bottom w:val="single" w:sz="4" w:space="0" w:color="auto"/>
            </w:tcBorders>
            <w:shd w:val="clear" w:color="auto" w:fill="auto"/>
            <w:noWrap/>
            <w:vAlign w:val="bottom"/>
            <w:hideMark/>
          </w:tcPr>
          <w:p w14:paraId="1F3A150C" w14:textId="77777777" w:rsidR="00810AB7" w:rsidRPr="00810AB7" w:rsidRDefault="00810AB7" w:rsidP="00810AB7">
            <w:pPr>
              <w:spacing w:line="240" w:lineRule="auto"/>
              <w:rPr>
                <w:rFonts w:ascii="Calibri" w:eastAsia="Times New Roman" w:hAnsi="Calibri" w:cs="Times New Roman"/>
                <w:b/>
                <w:bCs/>
                <w:i/>
                <w:iCs/>
                <w:szCs w:val="22"/>
                <w:lang w:eastAsia="en-GB"/>
              </w:rPr>
            </w:pPr>
            <w:r w:rsidRPr="00810AB7">
              <w:rPr>
                <w:rFonts w:ascii="Calibri" w:eastAsia="Times New Roman" w:hAnsi="Calibri" w:cs="Times New Roman"/>
                <w:b/>
                <w:bCs/>
                <w:i/>
                <w:iCs/>
                <w:szCs w:val="22"/>
                <w:lang w:eastAsia="en-GB"/>
              </w:rPr>
              <w:t>Type of benefit</w:t>
            </w:r>
          </w:p>
        </w:tc>
        <w:tc>
          <w:tcPr>
            <w:tcW w:w="940" w:type="dxa"/>
            <w:tcBorders>
              <w:top w:val="single" w:sz="4" w:space="0" w:color="auto"/>
              <w:bottom w:val="single" w:sz="4" w:space="0" w:color="auto"/>
            </w:tcBorders>
            <w:shd w:val="clear" w:color="auto" w:fill="auto"/>
            <w:vAlign w:val="bottom"/>
            <w:hideMark/>
          </w:tcPr>
          <w:p w14:paraId="1246434E" w14:textId="77777777" w:rsidR="00810AB7" w:rsidRPr="00810AB7" w:rsidRDefault="00810AB7" w:rsidP="00810AB7">
            <w:pPr>
              <w:spacing w:line="240" w:lineRule="auto"/>
              <w:jc w:val="center"/>
              <w:rPr>
                <w:rFonts w:ascii="Calibri" w:eastAsia="Times New Roman" w:hAnsi="Calibri" w:cs="Times New Roman"/>
                <w:bCs/>
                <w:szCs w:val="22"/>
                <w:lang w:eastAsia="en-GB"/>
              </w:rPr>
            </w:pPr>
            <w:r w:rsidRPr="00810AB7">
              <w:rPr>
                <w:rFonts w:ascii="Calibri" w:eastAsia="Times New Roman" w:hAnsi="Calibri" w:cs="Times New Roman"/>
                <w:bCs/>
                <w:szCs w:val="22"/>
                <w:lang w:eastAsia="en-GB"/>
              </w:rPr>
              <w:t>Personal</w:t>
            </w:r>
            <w:r w:rsidRPr="00810AB7">
              <w:rPr>
                <w:rFonts w:ascii="Calibri" w:eastAsia="Times New Roman" w:hAnsi="Calibri" w:cs="Times New Roman"/>
                <w:bCs/>
                <w:szCs w:val="22"/>
                <w:lang w:eastAsia="en-GB"/>
              </w:rPr>
              <w:br/>
              <w:t>shaming</w:t>
            </w:r>
          </w:p>
        </w:tc>
        <w:tc>
          <w:tcPr>
            <w:tcW w:w="940" w:type="dxa"/>
            <w:tcBorders>
              <w:top w:val="single" w:sz="4" w:space="0" w:color="auto"/>
              <w:bottom w:val="single" w:sz="4" w:space="0" w:color="auto"/>
            </w:tcBorders>
            <w:shd w:val="clear" w:color="auto" w:fill="auto"/>
            <w:vAlign w:val="bottom"/>
            <w:hideMark/>
          </w:tcPr>
          <w:p w14:paraId="2C90C7ED" w14:textId="77777777" w:rsidR="00810AB7" w:rsidRPr="00810AB7" w:rsidRDefault="00810AB7" w:rsidP="00810AB7">
            <w:pPr>
              <w:spacing w:line="240" w:lineRule="auto"/>
              <w:jc w:val="center"/>
              <w:rPr>
                <w:rFonts w:ascii="Calibri" w:eastAsia="Times New Roman" w:hAnsi="Calibri" w:cs="Times New Roman"/>
                <w:bCs/>
                <w:szCs w:val="22"/>
                <w:lang w:eastAsia="en-GB"/>
              </w:rPr>
            </w:pPr>
            <w:r w:rsidRPr="00810AB7">
              <w:rPr>
                <w:rFonts w:ascii="Calibri" w:eastAsia="Times New Roman" w:hAnsi="Calibri" w:cs="Times New Roman"/>
                <w:bCs/>
                <w:szCs w:val="22"/>
                <w:lang w:eastAsia="en-GB"/>
              </w:rPr>
              <w:t>Social shaming</w:t>
            </w:r>
          </w:p>
        </w:tc>
        <w:tc>
          <w:tcPr>
            <w:tcW w:w="940" w:type="dxa"/>
            <w:tcBorders>
              <w:top w:val="single" w:sz="4" w:space="0" w:color="auto"/>
              <w:bottom w:val="single" w:sz="4" w:space="0" w:color="auto"/>
            </w:tcBorders>
            <w:shd w:val="clear" w:color="auto" w:fill="auto"/>
            <w:vAlign w:val="bottom"/>
            <w:hideMark/>
          </w:tcPr>
          <w:p w14:paraId="4952989A" w14:textId="77777777" w:rsidR="00810AB7" w:rsidRPr="00810AB7" w:rsidRDefault="00810AB7" w:rsidP="00810AB7">
            <w:pPr>
              <w:spacing w:line="240" w:lineRule="auto"/>
              <w:jc w:val="center"/>
              <w:rPr>
                <w:rFonts w:ascii="Calibri" w:eastAsia="Times New Roman" w:hAnsi="Calibri" w:cs="Times New Roman"/>
                <w:bCs/>
                <w:szCs w:val="22"/>
                <w:lang w:eastAsia="en-GB"/>
              </w:rPr>
            </w:pPr>
            <w:r w:rsidRPr="00810AB7">
              <w:rPr>
                <w:rFonts w:ascii="Calibri" w:eastAsia="Times New Roman" w:hAnsi="Calibri" w:cs="Times New Roman"/>
                <w:bCs/>
                <w:szCs w:val="22"/>
                <w:lang w:eastAsia="en-GB"/>
              </w:rPr>
              <w:t>Claims shaming</w:t>
            </w:r>
          </w:p>
        </w:tc>
        <w:tc>
          <w:tcPr>
            <w:tcW w:w="940" w:type="dxa"/>
            <w:tcBorders>
              <w:top w:val="single" w:sz="4" w:space="0" w:color="auto"/>
              <w:bottom w:val="single" w:sz="4" w:space="0" w:color="auto"/>
            </w:tcBorders>
            <w:shd w:val="clear" w:color="auto" w:fill="auto"/>
            <w:vAlign w:val="bottom"/>
            <w:hideMark/>
          </w:tcPr>
          <w:p w14:paraId="00B52D0E" w14:textId="77777777" w:rsidR="00810AB7" w:rsidRPr="00810AB7" w:rsidRDefault="00810AB7" w:rsidP="00810AB7">
            <w:pPr>
              <w:spacing w:line="240" w:lineRule="auto"/>
              <w:jc w:val="center"/>
              <w:rPr>
                <w:rFonts w:ascii="Calibri" w:eastAsia="Times New Roman" w:hAnsi="Calibri" w:cs="Times New Roman"/>
                <w:bCs/>
                <w:szCs w:val="22"/>
                <w:lang w:eastAsia="en-GB"/>
              </w:rPr>
            </w:pPr>
            <w:r w:rsidRPr="00810AB7">
              <w:rPr>
                <w:rFonts w:ascii="Calibri" w:eastAsia="Times New Roman" w:hAnsi="Calibri" w:cs="Times New Roman"/>
                <w:bCs/>
                <w:szCs w:val="22"/>
                <w:lang w:eastAsia="en-GB"/>
              </w:rPr>
              <w:t>Any shame</w:t>
            </w:r>
          </w:p>
        </w:tc>
        <w:tc>
          <w:tcPr>
            <w:tcW w:w="940" w:type="dxa"/>
            <w:tcBorders>
              <w:top w:val="single" w:sz="4" w:space="0" w:color="auto"/>
              <w:bottom w:val="single" w:sz="4" w:space="0" w:color="auto"/>
            </w:tcBorders>
            <w:shd w:val="clear" w:color="auto" w:fill="auto"/>
            <w:vAlign w:val="bottom"/>
            <w:hideMark/>
          </w:tcPr>
          <w:p w14:paraId="418E3526" w14:textId="77777777" w:rsidR="00810AB7" w:rsidRPr="00810AB7" w:rsidRDefault="00810AB7" w:rsidP="00810AB7">
            <w:pPr>
              <w:spacing w:line="240" w:lineRule="auto"/>
              <w:jc w:val="center"/>
              <w:rPr>
                <w:rFonts w:ascii="Calibri" w:eastAsia="Times New Roman" w:hAnsi="Calibri" w:cs="Times New Roman"/>
                <w:bCs/>
                <w:szCs w:val="22"/>
                <w:lang w:eastAsia="en-GB"/>
              </w:rPr>
            </w:pPr>
            <w:r w:rsidRPr="00810AB7">
              <w:rPr>
                <w:rFonts w:ascii="Calibri" w:eastAsia="Times New Roman" w:hAnsi="Calibri" w:cs="Times New Roman"/>
                <w:bCs/>
                <w:szCs w:val="22"/>
                <w:lang w:eastAsia="en-GB"/>
              </w:rPr>
              <w:t>Non-shame</w:t>
            </w:r>
          </w:p>
        </w:tc>
        <w:tc>
          <w:tcPr>
            <w:tcW w:w="940" w:type="dxa"/>
            <w:tcBorders>
              <w:top w:val="single" w:sz="4" w:space="0" w:color="auto"/>
              <w:bottom w:val="single" w:sz="4" w:space="0" w:color="auto"/>
            </w:tcBorders>
            <w:shd w:val="clear" w:color="auto" w:fill="auto"/>
            <w:vAlign w:val="bottom"/>
            <w:hideMark/>
          </w:tcPr>
          <w:p w14:paraId="0799BC17" w14:textId="77777777" w:rsidR="00810AB7" w:rsidRPr="00810AB7" w:rsidRDefault="00810AB7" w:rsidP="00810AB7">
            <w:pPr>
              <w:spacing w:line="240" w:lineRule="auto"/>
              <w:jc w:val="center"/>
              <w:rPr>
                <w:rFonts w:ascii="Calibri" w:eastAsia="Times New Roman" w:hAnsi="Calibri" w:cs="Times New Roman"/>
                <w:bCs/>
                <w:szCs w:val="22"/>
                <w:lang w:eastAsia="en-GB"/>
              </w:rPr>
            </w:pPr>
            <w:r w:rsidRPr="00810AB7">
              <w:rPr>
                <w:rFonts w:ascii="Calibri" w:eastAsia="Times New Roman" w:hAnsi="Calibri" w:cs="Times New Roman"/>
                <w:bCs/>
                <w:szCs w:val="22"/>
                <w:lang w:eastAsia="en-GB"/>
              </w:rPr>
              <w:t xml:space="preserve">Would </w:t>
            </w:r>
            <w:r w:rsidRPr="00810AB7">
              <w:rPr>
                <w:rFonts w:ascii="Calibri" w:eastAsia="Times New Roman" w:hAnsi="Calibri" w:cs="Times New Roman"/>
                <w:bCs/>
                <w:szCs w:val="22"/>
                <w:lang w:eastAsia="en-GB"/>
              </w:rPr>
              <w:br/>
              <w:t>claim</w:t>
            </w:r>
          </w:p>
        </w:tc>
      </w:tr>
      <w:tr w:rsidR="00810AB7" w:rsidRPr="00810AB7" w14:paraId="54560B51" w14:textId="77777777" w:rsidTr="00734191">
        <w:trPr>
          <w:trHeight w:val="288"/>
          <w:jc w:val="center"/>
        </w:trPr>
        <w:tc>
          <w:tcPr>
            <w:tcW w:w="3188" w:type="dxa"/>
            <w:tcBorders>
              <w:top w:val="single" w:sz="4" w:space="0" w:color="auto"/>
            </w:tcBorders>
            <w:shd w:val="clear" w:color="auto" w:fill="auto"/>
            <w:noWrap/>
            <w:vAlign w:val="bottom"/>
            <w:hideMark/>
          </w:tcPr>
          <w:p w14:paraId="10B56DCE"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Benefits</w:t>
            </w:r>
          </w:p>
        </w:tc>
        <w:tc>
          <w:tcPr>
            <w:tcW w:w="940" w:type="dxa"/>
            <w:tcBorders>
              <w:top w:val="single" w:sz="4" w:space="0" w:color="auto"/>
            </w:tcBorders>
            <w:shd w:val="clear" w:color="auto" w:fill="auto"/>
            <w:noWrap/>
            <w:vAlign w:val="bottom"/>
            <w:hideMark/>
          </w:tcPr>
          <w:p w14:paraId="1B422F49" w14:textId="77777777" w:rsidR="00810AB7" w:rsidRPr="00810AB7" w:rsidRDefault="00810AB7" w:rsidP="00810AB7">
            <w:pPr>
              <w:spacing w:line="240" w:lineRule="auto"/>
              <w:rPr>
                <w:rFonts w:ascii="Calibri" w:eastAsia="Times New Roman" w:hAnsi="Calibri" w:cs="Times New Roman"/>
                <w:b/>
                <w:bCs/>
                <w:szCs w:val="22"/>
                <w:lang w:eastAsia="en-GB"/>
              </w:rPr>
            </w:pPr>
          </w:p>
        </w:tc>
        <w:tc>
          <w:tcPr>
            <w:tcW w:w="940" w:type="dxa"/>
            <w:tcBorders>
              <w:top w:val="single" w:sz="4" w:space="0" w:color="auto"/>
            </w:tcBorders>
            <w:shd w:val="clear" w:color="auto" w:fill="auto"/>
            <w:noWrap/>
            <w:vAlign w:val="bottom"/>
            <w:hideMark/>
          </w:tcPr>
          <w:p w14:paraId="551CC6E1" w14:textId="77777777" w:rsidR="00810AB7" w:rsidRPr="00810AB7" w:rsidRDefault="00810AB7" w:rsidP="00810AB7">
            <w:pPr>
              <w:spacing w:line="240" w:lineRule="auto"/>
              <w:rPr>
                <w:rFonts w:ascii="Times New Roman" w:eastAsia="Times New Roman" w:hAnsi="Times New Roman" w:cs="Times New Roman"/>
                <w:sz w:val="20"/>
                <w:szCs w:val="20"/>
                <w:lang w:eastAsia="en-GB"/>
              </w:rPr>
            </w:pPr>
          </w:p>
        </w:tc>
        <w:tc>
          <w:tcPr>
            <w:tcW w:w="940" w:type="dxa"/>
            <w:tcBorders>
              <w:top w:val="single" w:sz="4" w:space="0" w:color="auto"/>
            </w:tcBorders>
            <w:shd w:val="clear" w:color="auto" w:fill="auto"/>
            <w:noWrap/>
            <w:vAlign w:val="bottom"/>
            <w:hideMark/>
          </w:tcPr>
          <w:p w14:paraId="4C068AE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940" w:type="dxa"/>
            <w:tcBorders>
              <w:top w:val="single" w:sz="4" w:space="0" w:color="auto"/>
            </w:tcBorders>
            <w:shd w:val="clear" w:color="auto" w:fill="auto"/>
            <w:noWrap/>
            <w:vAlign w:val="bottom"/>
            <w:hideMark/>
          </w:tcPr>
          <w:p w14:paraId="320B2EE9" w14:textId="77777777" w:rsidR="00810AB7" w:rsidRPr="00810AB7" w:rsidRDefault="00810AB7" w:rsidP="00810AB7">
            <w:pPr>
              <w:spacing w:line="240" w:lineRule="auto"/>
              <w:rPr>
                <w:rFonts w:ascii="Calibri" w:eastAsia="Times New Roman" w:hAnsi="Calibri" w:cs="Times New Roman"/>
                <w:szCs w:val="22"/>
                <w:lang w:eastAsia="en-GB"/>
              </w:rPr>
            </w:pPr>
          </w:p>
        </w:tc>
        <w:tc>
          <w:tcPr>
            <w:tcW w:w="940" w:type="dxa"/>
            <w:tcBorders>
              <w:top w:val="single" w:sz="4" w:space="0" w:color="auto"/>
            </w:tcBorders>
            <w:shd w:val="clear" w:color="auto" w:fill="auto"/>
            <w:noWrap/>
            <w:vAlign w:val="bottom"/>
            <w:hideMark/>
          </w:tcPr>
          <w:p w14:paraId="72137190"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940" w:type="dxa"/>
            <w:tcBorders>
              <w:top w:val="single" w:sz="4" w:space="0" w:color="auto"/>
            </w:tcBorders>
            <w:shd w:val="clear" w:color="auto" w:fill="auto"/>
            <w:noWrap/>
            <w:vAlign w:val="bottom"/>
            <w:hideMark/>
          </w:tcPr>
          <w:p w14:paraId="6EF8A81B"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r>
      <w:tr w:rsidR="00810AB7" w:rsidRPr="00810AB7" w14:paraId="2C126EB0" w14:textId="77777777" w:rsidTr="00734191">
        <w:trPr>
          <w:trHeight w:val="288"/>
          <w:jc w:val="center"/>
        </w:trPr>
        <w:tc>
          <w:tcPr>
            <w:tcW w:w="3188" w:type="dxa"/>
            <w:shd w:val="clear" w:color="auto" w:fill="auto"/>
            <w:noWrap/>
            <w:vAlign w:val="bottom"/>
            <w:hideMark/>
          </w:tcPr>
          <w:p w14:paraId="03FD17D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Overall</w:t>
            </w:r>
          </w:p>
        </w:tc>
        <w:tc>
          <w:tcPr>
            <w:tcW w:w="940" w:type="dxa"/>
            <w:shd w:val="clear" w:color="auto" w:fill="auto"/>
            <w:noWrap/>
            <w:vAlign w:val="bottom"/>
            <w:hideMark/>
          </w:tcPr>
          <w:p w14:paraId="1F885EC9"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16.9%</w:t>
            </w:r>
          </w:p>
        </w:tc>
        <w:tc>
          <w:tcPr>
            <w:tcW w:w="940" w:type="dxa"/>
            <w:shd w:val="clear" w:color="auto" w:fill="auto"/>
            <w:noWrap/>
            <w:vAlign w:val="bottom"/>
            <w:hideMark/>
          </w:tcPr>
          <w:p w14:paraId="4DA90A07"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4.3%</w:t>
            </w:r>
          </w:p>
        </w:tc>
        <w:tc>
          <w:tcPr>
            <w:tcW w:w="940" w:type="dxa"/>
            <w:shd w:val="clear" w:color="auto" w:fill="auto"/>
            <w:noWrap/>
            <w:vAlign w:val="bottom"/>
            <w:hideMark/>
          </w:tcPr>
          <w:p w14:paraId="68F2938B"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12.8%</w:t>
            </w:r>
          </w:p>
        </w:tc>
        <w:tc>
          <w:tcPr>
            <w:tcW w:w="940" w:type="dxa"/>
            <w:shd w:val="clear" w:color="auto" w:fill="auto"/>
            <w:noWrap/>
            <w:vAlign w:val="bottom"/>
            <w:hideMark/>
          </w:tcPr>
          <w:p w14:paraId="3D133601"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26.6%</w:t>
            </w:r>
          </w:p>
        </w:tc>
        <w:tc>
          <w:tcPr>
            <w:tcW w:w="940" w:type="dxa"/>
            <w:shd w:val="clear" w:color="auto" w:fill="auto"/>
            <w:noWrap/>
            <w:vAlign w:val="bottom"/>
            <w:hideMark/>
          </w:tcPr>
          <w:p w14:paraId="250B9D88"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24.3%</w:t>
            </w:r>
          </w:p>
        </w:tc>
        <w:tc>
          <w:tcPr>
            <w:tcW w:w="940" w:type="dxa"/>
            <w:shd w:val="clear" w:color="auto" w:fill="auto"/>
            <w:noWrap/>
            <w:vAlign w:val="bottom"/>
            <w:hideMark/>
          </w:tcPr>
          <w:p w14:paraId="49A723BA"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56.6%</w:t>
            </w:r>
          </w:p>
        </w:tc>
      </w:tr>
      <w:tr w:rsidR="00810AB7" w:rsidRPr="00810AB7" w14:paraId="4FA4692F" w14:textId="77777777" w:rsidTr="00734191">
        <w:trPr>
          <w:trHeight w:val="288"/>
          <w:jc w:val="center"/>
        </w:trPr>
        <w:tc>
          <w:tcPr>
            <w:tcW w:w="3188" w:type="dxa"/>
            <w:shd w:val="clear" w:color="auto" w:fill="auto"/>
            <w:noWrap/>
            <w:vAlign w:val="bottom"/>
            <w:hideMark/>
          </w:tcPr>
          <w:p w14:paraId="5A2D20CA" w14:textId="77777777" w:rsidR="00810AB7" w:rsidRPr="00810AB7" w:rsidRDefault="00810AB7" w:rsidP="00810AB7">
            <w:pPr>
              <w:spacing w:line="240" w:lineRule="auto"/>
              <w:rPr>
                <w:rFonts w:ascii="Calibri" w:eastAsia="Times New Roman" w:hAnsi="Calibri" w:cs="Times New Roman"/>
                <w:i/>
                <w:iCs/>
                <w:szCs w:val="22"/>
                <w:lang w:eastAsia="en-GB"/>
              </w:rPr>
            </w:pPr>
            <w:r w:rsidRPr="00810AB7">
              <w:rPr>
                <w:rFonts w:ascii="Calibri" w:eastAsia="Times New Roman" w:hAnsi="Calibri" w:cs="Times New Roman"/>
                <w:i/>
                <w:iCs/>
                <w:szCs w:val="22"/>
                <w:lang w:eastAsia="en-GB"/>
              </w:rPr>
              <w:t>Claimants (past experiences)</w:t>
            </w:r>
          </w:p>
        </w:tc>
        <w:tc>
          <w:tcPr>
            <w:tcW w:w="940" w:type="dxa"/>
            <w:shd w:val="clear" w:color="auto" w:fill="auto"/>
            <w:noWrap/>
            <w:vAlign w:val="bottom"/>
            <w:hideMark/>
          </w:tcPr>
          <w:p w14:paraId="104FD0D5"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14.2%</w:t>
            </w:r>
          </w:p>
        </w:tc>
        <w:tc>
          <w:tcPr>
            <w:tcW w:w="940" w:type="dxa"/>
            <w:shd w:val="clear" w:color="auto" w:fill="auto"/>
            <w:noWrap/>
            <w:vAlign w:val="bottom"/>
            <w:hideMark/>
          </w:tcPr>
          <w:p w14:paraId="610B40FC"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2.9%</w:t>
            </w:r>
          </w:p>
        </w:tc>
        <w:tc>
          <w:tcPr>
            <w:tcW w:w="940" w:type="dxa"/>
            <w:shd w:val="clear" w:color="auto" w:fill="auto"/>
            <w:noWrap/>
            <w:vAlign w:val="bottom"/>
            <w:hideMark/>
          </w:tcPr>
          <w:p w14:paraId="07C8F9F0"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11.3%</w:t>
            </w:r>
          </w:p>
        </w:tc>
        <w:tc>
          <w:tcPr>
            <w:tcW w:w="940" w:type="dxa"/>
            <w:shd w:val="clear" w:color="auto" w:fill="auto"/>
            <w:noWrap/>
            <w:vAlign w:val="bottom"/>
            <w:hideMark/>
          </w:tcPr>
          <w:p w14:paraId="44291F5D"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22.8%</w:t>
            </w:r>
          </w:p>
        </w:tc>
        <w:tc>
          <w:tcPr>
            <w:tcW w:w="940" w:type="dxa"/>
            <w:shd w:val="clear" w:color="auto" w:fill="auto"/>
            <w:noWrap/>
            <w:vAlign w:val="bottom"/>
            <w:hideMark/>
          </w:tcPr>
          <w:p w14:paraId="78A50EF2"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25.2%</w:t>
            </w:r>
          </w:p>
        </w:tc>
        <w:tc>
          <w:tcPr>
            <w:tcW w:w="940" w:type="dxa"/>
            <w:shd w:val="clear" w:color="auto" w:fill="auto"/>
            <w:noWrap/>
            <w:vAlign w:val="bottom"/>
            <w:hideMark/>
          </w:tcPr>
          <w:p w14:paraId="6F3B43C9"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59.8%</w:t>
            </w:r>
          </w:p>
        </w:tc>
      </w:tr>
      <w:tr w:rsidR="00810AB7" w:rsidRPr="00810AB7" w14:paraId="04F5B260" w14:textId="77777777" w:rsidTr="00734191">
        <w:trPr>
          <w:trHeight w:val="288"/>
          <w:jc w:val="center"/>
        </w:trPr>
        <w:tc>
          <w:tcPr>
            <w:tcW w:w="3188" w:type="dxa"/>
            <w:tcBorders>
              <w:bottom w:val="single" w:sz="4" w:space="0" w:color="auto"/>
            </w:tcBorders>
            <w:shd w:val="clear" w:color="auto" w:fill="auto"/>
            <w:noWrap/>
            <w:vAlign w:val="bottom"/>
            <w:hideMark/>
          </w:tcPr>
          <w:p w14:paraId="716410F4" w14:textId="77777777" w:rsidR="00810AB7" w:rsidRPr="00810AB7" w:rsidRDefault="00810AB7" w:rsidP="00810AB7">
            <w:pPr>
              <w:spacing w:line="240" w:lineRule="auto"/>
              <w:rPr>
                <w:rFonts w:ascii="Calibri" w:eastAsia="Times New Roman" w:hAnsi="Calibri" w:cs="Times New Roman"/>
                <w:i/>
                <w:iCs/>
                <w:szCs w:val="22"/>
                <w:lang w:eastAsia="en-GB"/>
              </w:rPr>
            </w:pPr>
            <w:r w:rsidRPr="00810AB7">
              <w:rPr>
                <w:rFonts w:ascii="Calibri" w:eastAsia="Times New Roman" w:hAnsi="Calibri" w:cs="Times New Roman"/>
                <w:i/>
                <w:iCs/>
                <w:szCs w:val="22"/>
                <w:lang w:eastAsia="en-GB"/>
              </w:rPr>
              <w:t>Non-claimants (hypothetical)</w:t>
            </w:r>
          </w:p>
        </w:tc>
        <w:tc>
          <w:tcPr>
            <w:tcW w:w="940" w:type="dxa"/>
            <w:tcBorders>
              <w:bottom w:val="single" w:sz="4" w:space="0" w:color="auto"/>
            </w:tcBorders>
            <w:shd w:val="clear" w:color="auto" w:fill="auto"/>
            <w:noWrap/>
            <w:vAlign w:val="bottom"/>
            <w:hideMark/>
          </w:tcPr>
          <w:p w14:paraId="26EB5B86"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17.6%</w:t>
            </w:r>
          </w:p>
        </w:tc>
        <w:tc>
          <w:tcPr>
            <w:tcW w:w="940" w:type="dxa"/>
            <w:tcBorders>
              <w:bottom w:val="single" w:sz="4" w:space="0" w:color="auto"/>
            </w:tcBorders>
            <w:shd w:val="clear" w:color="auto" w:fill="auto"/>
            <w:noWrap/>
            <w:vAlign w:val="bottom"/>
            <w:hideMark/>
          </w:tcPr>
          <w:p w14:paraId="2E22F953"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4.7%</w:t>
            </w:r>
          </w:p>
        </w:tc>
        <w:tc>
          <w:tcPr>
            <w:tcW w:w="940" w:type="dxa"/>
            <w:tcBorders>
              <w:bottom w:val="single" w:sz="4" w:space="0" w:color="auto"/>
            </w:tcBorders>
            <w:shd w:val="clear" w:color="auto" w:fill="auto"/>
            <w:noWrap/>
            <w:vAlign w:val="bottom"/>
            <w:hideMark/>
          </w:tcPr>
          <w:p w14:paraId="0EC3B03C"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13.2%</w:t>
            </w:r>
          </w:p>
        </w:tc>
        <w:tc>
          <w:tcPr>
            <w:tcW w:w="940" w:type="dxa"/>
            <w:tcBorders>
              <w:bottom w:val="single" w:sz="4" w:space="0" w:color="auto"/>
            </w:tcBorders>
            <w:shd w:val="clear" w:color="auto" w:fill="auto"/>
            <w:noWrap/>
            <w:vAlign w:val="bottom"/>
            <w:hideMark/>
          </w:tcPr>
          <w:p w14:paraId="044CA16D"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27.6%</w:t>
            </w:r>
          </w:p>
        </w:tc>
        <w:tc>
          <w:tcPr>
            <w:tcW w:w="940" w:type="dxa"/>
            <w:tcBorders>
              <w:bottom w:val="single" w:sz="4" w:space="0" w:color="auto"/>
            </w:tcBorders>
            <w:shd w:val="clear" w:color="auto" w:fill="auto"/>
            <w:noWrap/>
            <w:vAlign w:val="bottom"/>
            <w:hideMark/>
          </w:tcPr>
          <w:p w14:paraId="0AD98BD9"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24.0%</w:t>
            </w:r>
          </w:p>
        </w:tc>
        <w:tc>
          <w:tcPr>
            <w:tcW w:w="940" w:type="dxa"/>
            <w:tcBorders>
              <w:bottom w:val="single" w:sz="4" w:space="0" w:color="auto"/>
            </w:tcBorders>
            <w:shd w:val="clear" w:color="auto" w:fill="auto"/>
            <w:noWrap/>
            <w:vAlign w:val="bottom"/>
            <w:hideMark/>
          </w:tcPr>
          <w:p w14:paraId="56D6AE9D"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55.8%</w:t>
            </w:r>
          </w:p>
        </w:tc>
      </w:tr>
      <w:tr w:rsidR="00810AB7" w:rsidRPr="00810AB7" w14:paraId="44D9171A" w14:textId="77777777" w:rsidTr="00734191">
        <w:trPr>
          <w:trHeight w:val="288"/>
          <w:jc w:val="center"/>
        </w:trPr>
        <w:tc>
          <w:tcPr>
            <w:tcW w:w="3188" w:type="dxa"/>
            <w:tcBorders>
              <w:top w:val="single" w:sz="4" w:space="0" w:color="auto"/>
            </w:tcBorders>
            <w:shd w:val="clear" w:color="auto" w:fill="auto"/>
            <w:noWrap/>
            <w:vAlign w:val="bottom"/>
            <w:hideMark/>
          </w:tcPr>
          <w:p w14:paraId="60C8D195"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Tax credits</w:t>
            </w:r>
          </w:p>
        </w:tc>
        <w:tc>
          <w:tcPr>
            <w:tcW w:w="940" w:type="dxa"/>
            <w:tcBorders>
              <w:top w:val="single" w:sz="4" w:space="0" w:color="auto"/>
            </w:tcBorders>
            <w:shd w:val="clear" w:color="auto" w:fill="auto"/>
            <w:noWrap/>
            <w:vAlign w:val="bottom"/>
            <w:hideMark/>
          </w:tcPr>
          <w:p w14:paraId="131D30A0" w14:textId="77777777" w:rsidR="00810AB7" w:rsidRPr="00810AB7" w:rsidRDefault="00810AB7" w:rsidP="00810AB7">
            <w:pPr>
              <w:spacing w:line="240" w:lineRule="auto"/>
              <w:rPr>
                <w:rFonts w:ascii="Calibri" w:eastAsia="Times New Roman" w:hAnsi="Calibri" w:cs="Times New Roman"/>
                <w:b/>
                <w:bCs/>
                <w:szCs w:val="22"/>
                <w:lang w:eastAsia="en-GB"/>
              </w:rPr>
            </w:pPr>
          </w:p>
        </w:tc>
        <w:tc>
          <w:tcPr>
            <w:tcW w:w="940" w:type="dxa"/>
            <w:tcBorders>
              <w:top w:val="single" w:sz="4" w:space="0" w:color="auto"/>
            </w:tcBorders>
            <w:shd w:val="clear" w:color="auto" w:fill="auto"/>
            <w:noWrap/>
            <w:vAlign w:val="bottom"/>
            <w:hideMark/>
          </w:tcPr>
          <w:p w14:paraId="61DF2864" w14:textId="77777777" w:rsidR="00810AB7" w:rsidRPr="00810AB7" w:rsidRDefault="00810AB7" w:rsidP="00810AB7">
            <w:pPr>
              <w:spacing w:line="240" w:lineRule="auto"/>
              <w:rPr>
                <w:rFonts w:ascii="Times New Roman" w:eastAsia="Times New Roman" w:hAnsi="Times New Roman" w:cs="Times New Roman"/>
                <w:sz w:val="20"/>
                <w:szCs w:val="20"/>
                <w:lang w:eastAsia="en-GB"/>
              </w:rPr>
            </w:pPr>
          </w:p>
        </w:tc>
        <w:tc>
          <w:tcPr>
            <w:tcW w:w="940" w:type="dxa"/>
            <w:tcBorders>
              <w:top w:val="single" w:sz="4" w:space="0" w:color="auto"/>
            </w:tcBorders>
            <w:shd w:val="clear" w:color="auto" w:fill="auto"/>
            <w:noWrap/>
            <w:vAlign w:val="bottom"/>
            <w:hideMark/>
          </w:tcPr>
          <w:p w14:paraId="491D5BFE" w14:textId="77777777" w:rsidR="00810AB7" w:rsidRPr="00810AB7" w:rsidRDefault="00810AB7" w:rsidP="00810AB7">
            <w:pPr>
              <w:spacing w:line="240" w:lineRule="auto"/>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 </w:t>
            </w:r>
          </w:p>
        </w:tc>
        <w:tc>
          <w:tcPr>
            <w:tcW w:w="940" w:type="dxa"/>
            <w:tcBorders>
              <w:top w:val="single" w:sz="4" w:space="0" w:color="auto"/>
            </w:tcBorders>
            <w:shd w:val="clear" w:color="auto" w:fill="auto"/>
            <w:noWrap/>
            <w:vAlign w:val="bottom"/>
            <w:hideMark/>
          </w:tcPr>
          <w:p w14:paraId="065F0D0C" w14:textId="77777777" w:rsidR="00810AB7" w:rsidRPr="00810AB7" w:rsidRDefault="00810AB7" w:rsidP="00810AB7">
            <w:pPr>
              <w:spacing w:line="240" w:lineRule="auto"/>
              <w:rPr>
                <w:rFonts w:ascii="Calibri" w:eastAsia="Times New Roman" w:hAnsi="Calibri" w:cs="Times New Roman"/>
                <w:color w:val="000000"/>
                <w:szCs w:val="22"/>
                <w:lang w:eastAsia="en-GB"/>
              </w:rPr>
            </w:pPr>
          </w:p>
        </w:tc>
        <w:tc>
          <w:tcPr>
            <w:tcW w:w="940" w:type="dxa"/>
            <w:tcBorders>
              <w:top w:val="single" w:sz="4" w:space="0" w:color="auto"/>
            </w:tcBorders>
            <w:shd w:val="clear" w:color="auto" w:fill="auto"/>
            <w:noWrap/>
            <w:vAlign w:val="bottom"/>
            <w:hideMark/>
          </w:tcPr>
          <w:p w14:paraId="07843CCF" w14:textId="77777777" w:rsidR="00810AB7" w:rsidRPr="00810AB7" w:rsidRDefault="00810AB7" w:rsidP="00810AB7">
            <w:pPr>
              <w:spacing w:line="240" w:lineRule="auto"/>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 </w:t>
            </w:r>
          </w:p>
        </w:tc>
        <w:tc>
          <w:tcPr>
            <w:tcW w:w="940" w:type="dxa"/>
            <w:tcBorders>
              <w:top w:val="single" w:sz="4" w:space="0" w:color="auto"/>
            </w:tcBorders>
            <w:shd w:val="clear" w:color="auto" w:fill="auto"/>
            <w:noWrap/>
            <w:vAlign w:val="bottom"/>
            <w:hideMark/>
          </w:tcPr>
          <w:p w14:paraId="771D948F" w14:textId="77777777" w:rsidR="00810AB7" w:rsidRPr="00810AB7" w:rsidRDefault="00810AB7" w:rsidP="00810AB7">
            <w:pPr>
              <w:spacing w:line="240" w:lineRule="auto"/>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 </w:t>
            </w:r>
          </w:p>
        </w:tc>
      </w:tr>
      <w:tr w:rsidR="00810AB7" w:rsidRPr="00810AB7" w14:paraId="51240CC5" w14:textId="77777777" w:rsidTr="00734191">
        <w:trPr>
          <w:trHeight w:val="288"/>
          <w:jc w:val="center"/>
        </w:trPr>
        <w:tc>
          <w:tcPr>
            <w:tcW w:w="3188" w:type="dxa"/>
            <w:shd w:val="clear" w:color="auto" w:fill="auto"/>
            <w:noWrap/>
            <w:vAlign w:val="bottom"/>
            <w:hideMark/>
          </w:tcPr>
          <w:p w14:paraId="57582286"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Overall</w:t>
            </w:r>
          </w:p>
        </w:tc>
        <w:tc>
          <w:tcPr>
            <w:tcW w:w="940" w:type="dxa"/>
            <w:shd w:val="clear" w:color="auto" w:fill="auto"/>
            <w:noWrap/>
            <w:vAlign w:val="bottom"/>
            <w:hideMark/>
          </w:tcPr>
          <w:p w14:paraId="6B3165F7"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13.0%</w:t>
            </w:r>
          </w:p>
        </w:tc>
        <w:tc>
          <w:tcPr>
            <w:tcW w:w="940" w:type="dxa"/>
            <w:shd w:val="clear" w:color="auto" w:fill="auto"/>
            <w:noWrap/>
            <w:vAlign w:val="bottom"/>
            <w:hideMark/>
          </w:tcPr>
          <w:p w14:paraId="61219529"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4.7%</w:t>
            </w:r>
          </w:p>
        </w:tc>
        <w:tc>
          <w:tcPr>
            <w:tcW w:w="940" w:type="dxa"/>
            <w:shd w:val="clear" w:color="auto" w:fill="auto"/>
            <w:noWrap/>
            <w:vAlign w:val="bottom"/>
            <w:hideMark/>
          </w:tcPr>
          <w:p w14:paraId="60643D67"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12.9%</w:t>
            </w:r>
          </w:p>
        </w:tc>
        <w:tc>
          <w:tcPr>
            <w:tcW w:w="940" w:type="dxa"/>
            <w:shd w:val="clear" w:color="auto" w:fill="auto"/>
            <w:noWrap/>
            <w:vAlign w:val="bottom"/>
            <w:hideMark/>
          </w:tcPr>
          <w:p w14:paraId="00948DC3"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24.1%</w:t>
            </w:r>
          </w:p>
        </w:tc>
        <w:tc>
          <w:tcPr>
            <w:tcW w:w="940" w:type="dxa"/>
            <w:shd w:val="clear" w:color="auto" w:fill="auto"/>
            <w:noWrap/>
            <w:vAlign w:val="bottom"/>
            <w:hideMark/>
          </w:tcPr>
          <w:p w14:paraId="5E0F102F"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25.2%</w:t>
            </w:r>
          </w:p>
        </w:tc>
        <w:tc>
          <w:tcPr>
            <w:tcW w:w="940" w:type="dxa"/>
            <w:shd w:val="clear" w:color="auto" w:fill="auto"/>
            <w:noWrap/>
            <w:vAlign w:val="bottom"/>
            <w:hideMark/>
          </w:tcPr>
          <w:p w14:paraId="02ECCA93" w14:textId="77777777" w:rsidR="00810AB7" w:rsidRPr="00810AB7" w:rsidRDefault="00810AB7" w:rsidP="00810AB7">
            <w:pPr>
              <w:spacing w:line="240" w:lineRule="auto"/>
              <w:jc w:val="right"/>
              <w:rPr>
                <w:rFonts w:ascii="Calibri" w:eastAsia="Times New Roman" w:hAnsi="Calibri" w:cs="Times New Roman"/>
                <w:color w:val="000000"/>
                <w:szCs w:val="22"/>
                <w:lang w:eastAsia="en-GB"/>
              </w:rPr>
            </w:pPr>
            <w:r w:rsidRPr="00810AB7">
              <w:rPr>
                <w:rFonts w:ascii="Calibri" w:eastAsia="Times New Roman" w:hAnsi="Calibri" w:cs="Times New Roman"/>
                <w:color w:val="000000"/>
                <w:szCs w:val="22"/>
                <w:lang w:eastAsia="en-GB"/>
              </w:rPr>
              <w:t>58.1%</w:t>
            </w:r>
          </w:p>
        </w:tc>
      </w:tr>
      <w:tr w:rsidR="00810AB7" w:rsidRPr="00810AB7" w14:paraId="239B79B9" w14:textId="77777777" w:rsidTr="00734191">
        <w:trPr>
          <w:trHeight w:val="288"/>
          <w:jc w:val="center"/>
        </w:trPr>
        <w:tc>
          <w:tcPr>
            <w:tcW w:w="3188" w:type="dxa"/>
            <w:shd w:val="clear" w:color="auto" w:fill="auto"/>
            <w:noWrap/>
            <w:vAlign w:val="bottom"/>
            <w:hideMark/>
          </w:tcPr>
          <w:p w14:paraId="6F0AB137" w14:textId="77777777" w:rsidR="00810AB7" w:rsidRPr="00810AB7" w:rsidRDefault="00810AB7" w:rsidP="00810AB7">
            <w:pPr>
              <w:spacing w:line="240" w:lineRule="auto"/>
              <w:rPr>
                <w:rFonts w:ascii="Calibri" w:eastAsia="Times New Roman" w:hAnsi="Calibri" w:cs="Times New Roman"/>
                <w:i/>
                <w:iCs/>
                <w:szCs w:val="22"/>
                <w:lang w:eastAsia="en-GB"/>
              </w:rPr>
            </w:pPr>
            <w:r w:rsidRPr="00810AB7">
              <w:rPr>
                <w:rFonts w:ascii="Calibri" w:eastAsia="Times New Roman" w:hAnsi="Calibri" w:cs="Times New Roman"/>
                <w:i/>
                <w:iCs/>
                <w:szCs w:val="22"/>
                <w:lang w:eastAsia="en-GB"/>
              </w:rPr>
              <w:t>Claimants (past experiences)</w:t>
            </w:r>
          </w:p>
        </w:tc>
        <w:tc>
          <w:tcPr>
            <w:tcW w:w="940" w:type="dxa"/>
            <w:shd w:val="clear" w:color="auto" w:fill="auto"/>
            <w:noWrap/>
            <w:vAlign w:val="bottom"/>
            <w:hideMark/>
          </w:tcPr>
          <w:p w14:paraId="083D7F0C"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6.4%</w:t>
            </w:r>
          </w:p>
        </w:tc>
        <w:tc>
          <w:tcPr>
            <w:tcW w:w="940" w:type="dxa"/>
            <w:shd w:val="clear" w:color="auto" w:fill="auto"/>
            <w:noWrap/>
            <w:vAlign w:val="bottom"/>
            <w:hideMark/>
          </w:tcPr>
          <w:p w14:paraId="3A3FB0C6"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2.1%</w:t>
            </w:r>
          </w:p>
        </w:tc>
        <w:tc>
          <w:tcPr>
            <w:tcW w:w="940" w:type="dxa"/>
            <w:shd w:val="clear" w:color="auto" w:fill="auto"/>
            <w:noWrap/>
            <w:vAlign w:val="bottom"/>
            <w:hideMark/>
          </w:tcPr>
          <w:p w14:paraId="386D655C"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8.3%</w:t>
            </w:r>
          </w:p>
        </w:tc>
        <w:tc>
          <w:tcPr>
            <w:tcW w:w="940" w:type="dxa"/>
            <w:shd w:val="clear" w:color="auto" w:fill="auto"/>
            <w:noWrap/>
            <w:vAlign w:val="bottom"/>
            <w:hideMark/>
          </w:tcPr>
          <w:p w14:paraId="57D6548F"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14.1%</w:t>
            </w:r>
          </w:p>
        </w:tc>
        <w:tc>
          <w:tcPr>
            <w:tcW w:w="940" w:type="dxa"/>
            <w:shd w:val="clear" w:color="auto" w:fill="auto"/>
            <w:noWrap/>
            <w:vAlign w:val="bottom"/>
            <w:hideMark/>
          </w:tcPr>
          <w:p w14:paraId="5476DF7E"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15.9%</w:t>
            </w:r>
          </w:p>
        </w:tc>
        <w:tc>
          <w:tcPr>
            <w:tcW w:w="940" w:type="dxa"/>
            <w:shd w:val="clear" w:color="auto" w:fill="auto"/>
            <w:noWrap/>
            <w:vAlign w:val="bottom"/>
            <w:hideMark/>
          </w:tcPr>
          <w:p w14:paraId="6F68D40A"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74.9%</w:t>
            </w:r>
          </w:p>
        </w:tc>
      </w:tr>
      <w:tr w:rsidR="00810AB7" w:rsidRPr="00810AB7" w14:paraId="7A6B36DF" w14:textId="77777777" w:rsidTr="00734191">
        <w:trPr>
          <w:trHeight w:val="288"/>
          <w:jc w:val="center"/>
        </w:trPr>
        <w:tc>
          <w:tcPr>
            <w:tcW w:w="3188" w:type="dxa"/>
            <w:tcBorders>
              <w:bottom w:val="single" w:sz="4" w:space="0" w:color="auto"/>
            </w:tcBorders>
            <w:shd w:val="clear" w:color="auto" w:fill="auto"/>
            <w:noWrap/>
            <w:vAlign w:val="bottom"/>
            <w:hideMark/>
          </w:tcPr>
          <w:p w14:paraId="1E996BE0" w14:textId="77777777" w:rsidR="00810AB7" w:rsidRPr="00810AB7" w:rsidRDefault="00810AB7" w:rsidP="00810AB7">
            <w:pPr>
              <w:spacing w:line="240" w:lineRule="auto"/>
              <w:rPr>
                <w:rFonts w:ascii="Calibri" w:eastAsia="Times New Roman" w:hAnsi="Calibri" w:cs="Times New Roman"/>
                <w:i/>
                <w:iCs/>
                <w:szCs w:val="22"/>
                <w:lang w:eastAsia="en-GB"/>
              </w:rPr>
            </w:pPr>
            <w:r w:rsidRPr="00810AB7">
              <w:rPr>
                <w:rFonts w:ascii="Calibri" w:eastAsia="Times New Roman" w:hAnsi="Calibri" w:cs="Times New Roman"/>
                <w:i/>
                <w:iCs/>
                <w:szCs w:val="22"/>
                <w:lang w:eastAsia="en-GB"/>
              </w:rPr>
              <w:t>Non-claimants (hypothetical)</w:t>
            </w:r>
          </w:p>
        </w:tc>
        <w:tc>
          <w:tcPr>
            <w:tcW w:w="940" w:type="dxa"/>
            <w:tcBorders>
              <w:bottom w:val="single" w:sz="4" w:space="0" w:color="auto"/>
            </w:tcBorders>
            <w:shd w:val="clear" w:color="auto" w:fill="auto"/>
            <w:noWrap/>
            <w:vAlign w:val="bottom"/>
            <w:hideMark/>
          </w:tcPr>
          <w:p w14:paraId="7ECC36A7"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13.4%</w:t>
            </w:r>
          </w:p>
        </w:tc>
        <w:tc>
          <w:tcPr>
            <w:tcW w:w="940" w:type="dxa"/>
            <w:tcBorders>
              <w:bottom w:val="single" w:sz="4" w:space="0" w:color="auto"/>
            </w:tcBorders>
            <w:shd w:val="clear" w:color="auto" w:fill="auto"/>
            <w:noWrap/>
            <w:vAlign w:val="bottom"/>
            <w:hideMark/>
          </w:tcPr>
          <w:p w14:paraId="7B59B367"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4.9%</w:t>
            </w:r>
          </w:p>
        </w:tc>
        <w:tc>
          <w:tcPr>
            <w:tcW w:w="940" w:type="dxa"/>
            <w:tcBorders>
              <w:bottom w:val="single" w:sz="4" w:space="0" w:color="auto"/>
            </w:tcBorders>
            <w:shd w:val="clear" w:color="auto" w:fill="auto"/>
            <w:noWrap/>
            <w:vAlign w:val="bottom"/>
            <w:hideMark/>
          </w:tcPr>
          <w:p w14:paraId="3B4477AB"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13.2%</w:t>
            </w:r>
          </w:p>
        </w:tc>
        <w:tc>
          <w:tcPr>
            <w:tcW w:w="940" w:type="dxa"/>
            <w:tcBorders>
              <w:bottom w:val="single" w:sz="4" w:space="0" w:color="auto"/>
            </w:tcBorders>
            <w:shd w:val="clear" w:color="auto" w:fill="auto"/>
            <w:noWrap/>
            <w:vAlign w:val="bottom"/>
            <w:hideMark/>
          </w:tcPr>
          <w:p w14:paraId="4CAFC1B3"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24.7%</w:t>
            </w:r>
          </w:p>
        </w:tc>
        <w:tc>
          <w:tcPr>
            <w:tcW w:w="940" w:type="dxa"/>
            <w:tcBorders>
              <w:bottom w:val="single" w:sz="4" w:space="0" w:color="auto"/>
            </w:tcBorders>
            <w:shd w:val="clear" w:color="auto" w:fill="auto"/>
            <w:noWrap/>
            <w:vAlign w:val="bottom"/>
            <w:hideMark/>
          </w:tcPr>
          <w:p w14:paraId="0DA6BD0F"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25.8%</w:t>
            </w:r>
          </w:p>
        </w:tc>
        <w:tc>
          <w:tcPr>
            <w:tcW w:w="940" w:type="dxa"/>
            <w:tcBorders>
              <w:bottom w:val="single" w:sz="4" w:space="0" w:color="auto"/>
            </w:tcBorders>
            <w:shd w:val="clear" w:color="auto" w:fill="auto"/>
            <w:noWrap/>
            <w:vAlign w:val="bottom"/>
            <w:hideMark/>
          </w:tcPr>
          <w:p w14:paraId="50AF916F" w14:textId="77777777" w:rsidR="00810AB7" w:rsidRPr="00810AB7" w:rsidRDefault="00810AB7" w:rsidP="00810AB7">
            <w:pPr>
              <w:spacing w:line="240" w:lineRule="auto"/>
              <w:jc w:val="right"/>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57.0%</w:t>
            </w:r>
          </w:p>
        </w:tc>
      </w:tr>
      <w:tr w:rsidR="00810AB7" w:rsidRPr="00810AB7" w14:paraId="70493745" w14:textId="77777777" w:rsidTr="00734191">
        <w:trPr>
          <w:trHeight w:val="288"/>
          <w:jc w:val="center"/>
        </w:trPr>
        <w:tc>
          <w:tcPr>
            <w:tcW w:w="3188" w:type="dxa"/>
            <w:tcBorders>
              <w:top w:val="single" w:sz="4" w:space="0" w:color="auto"/>
              <w:bottom w:val="single" w:sz="4" w:space="0" w:color="auto"/>
            </w:tcBorders>
            <w:shd w:val="clear" w:color="auto" w:fill="auto"/>
            <w:noWrap/>
            <w:vAlign w:val="bottom"/>
            <w:hideMark/>
          </w:tcPr>
          <w:p w14:paraId="7E250A42" w14:textId="77777777" w:rsidR="00810AB7" w:rsidRPr="00810AB7" w:rsidRDefault="00810AB7" w:rsidP="00810AB7">
            <w:pPr>
              <w:spacing w:line="240" w:lineRule="auto"/>
              <w:jc w:val="right"/>
              <w:rPr>
                <w:rFonts w:ascii="Calibri" w:eastAsia="Times New Roman" w:hAnsi="Calibri" w:cs="Times New Roman"/>
                <w:i/>
                <w:iCs/>
                <w:szCs w:val="22"/>
                <w:lang w:eastAsia="en-GB"/>
              </w:rPr>
            </w:pPr>
            <w:r w:rsidRPr="00810AB7">
              <w:rPr>
                <w:rFonts w:ascii="Calibri" w:eastAsia="Times New Roman" w:hAnsi="Calibri" w:cs="Times New Roman"/>
                <w:i/>
                <w:iCs/>
                <w:szCs w:val="22"/>
                <w:lang w:eastAsia="en-GB"/>
              </w:rPr>
              <w:t>Benefits v. tax credits (sig.)</w:t>
            </w:r>
          </w:p>
        </w:tc>
        <w:tc>
          <w:tcPr>
            <w:tcW w:w="940" w:type="dxa"/>
            <w:tcBorders>
              <w:top w:val="single" w:sz="4" w:space="0" w:color="auto"/>
              <w:bottom w:val="single" w:sz="4" w:space="0" w:color="auto"/>
            </w:tcBorders>
            <w:shd w:val="clear" w:color="auto" w:fill="auto"/>
            <w:noWrap/>
            <w:vAlign w:val="bottom"/>
            <w:hideMark/>
          </w:tcPr>
          <w:p w14:paraId="6E0792EA" w14:textId="77777777" w:rsidR="00810AB7" w:rsidRPr="00810AB7" w:rsidRDefault="00810AB7" w:rsidP="00810AB7">
            <w:pPr>
              <w:spacing w:line="240" w:lineRule="auto"/>
              <w:rPr>
                <w:rFonts w:ascii="Calibri" w:eastAsia="Times New Roman" w:hAnsi="Calibri" w:cs="Times New Roman"/>
                <w:bCs/>
                <w:i/>
                <w:iCs/>
                <w:color w:val="000000"/>
                <w:szCs w:val="22"/>
                <w:lang w:eastAsia="en-GB"/>
              </w:rPr>
            </w:pPr>
            <w:r w:rsidRPr="00810AB7">
              <w:rPr>
                <w:rFonts w:ascii="Calibri" w:eastAsia="Times New Roman" w:hAnsi="Calibri" w:cs="Times New Roman"/>
                <w:bCs/>
                <w:i/>
                <w:iCs/>
                <w:color w:val="000000"/>
                <w:szCs w:val="22"/>
                <w:lang w:eastAsia="en-GB"/>
              </w:rPr>
              <w:t xml:space="preserve">0.00* </w:t>
            </w:r>
          </w:p>
        </w:tc>
        <w:tc>
          <w:tcPr>
            <w:tcW w:w="940" w:type="dxa"/>
            <w:tcBorders>
              <w:top w:val="single" w:sz="4" w:space="0" w:color="auto"/>
              <w:bottom w:val="single" w:sz="4" w:space="0" w:color="auto"/>
            </w:tcBorders>
            <w:shd w:val="clear" w:color="auto" w:fill="auto"/>
            <w:noWrap/>
            <w:vAlign w:val="bottom"/>
            <w:hideMark/>
          </w:tcPr>
          <w:p w14:paraId="339C0E79" w14:textId="77777777" w:rsidR="00810AB7" w:rsidRPr="00810AB7" w:rsidRDefault="00810AB7" w:rsidP="00810AB7">
            <w:pPr>
              <w:spacing w:line="240" w:lineRule="auto"/>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0.52 </w:t>
            </w:r>
          </w:p>
        </w:tc>
        <w:tc>
          <w:tcPr>
            <w:tcW w:w="940" w:type="dxa"/>
            <w:tcBorders>
              <w:top w:val="single" w:sz="4" w:space="0" w:color="auto"/>
              <w:bottom w:val="single" w:sz="4" w:space="0" w:color="auto"/>
            </w:tcBorders>
            <w:shd w:val="clear" w:color="auto" w:fill="auto"/>
            <w:noWrap/>
            <w:vAlign w:val="bottom"/>
            <w:hideMark/>
          </w:tcPr>
          <w:p w14:paraId="04E40E5A" w14:textId="77777777" w:rsidR="00810AB7" w:rsidRPr="00810AB7" w:rsidRDefault="00810AB7" w:rsidP="00810AB7">
            <w:pPr>
              <w:spacing w:line="240" w:lineRule="auto"/>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0.82 </w:t>
            </w:r>
          </w:p>
        </w:tc>
        <w:tc>
          <w:tcPr>
            <w:tcW w:w="940" w:type="dxa"/>
            <w:tcBorders>
              <w:top w:val="single" w:sz="4" w:space="0" w:color="auto"/>
              <w:bottom w:val="single" w:sz="4" w:space="0" w:color="auto"/>
            </w:tcBorders>
            <w:shd w:val="clear" w:color="auto" w:fill="auto"/>
            <w:noWrap/>
            <w:vAlign w:val="bottom"/>
            <w:hideMark/>
          </w:tcPr>
          <w:p w14:paraId="3C0756BB" w14:textId="77777777" w:rsidR="00810AB7" w:rsidRPr="00810AB7" w:rsidRDefault="00810AB7" w:rsidP="00810AB7">
            <w:pPr>
              <w:spacing w:line="240" w:lineRule="auto"/>
              <w:rPr>
                <w:rFonts w:ascii="Calibri" w:eastAsia="Times New Roman" w:hAnsi="Calibri" w:cs="Times New Roman"/>
                <w:bCs/>
                <w:i/>
                <w:iCs/>
                <w:color w:val="000000"/>
                <w:szCs w:val="22"/>
                <w:lang w:eastAsia="en-GB"/>
              </w:rPr>
            </w:pPr>
            <w:r w:rsidRPr="00810AB7">
              <w:rPr>
                <w:rFonts w:ascii="Calibri" w:eastAsia="Times New Roman" w:hAnsi="Calibri" w:cs="Times New Roman"/>
                <w:bCs/>
                <w:i/>
                <w:iCs/>
                <w:color w:val="000000"/>
                <w:szCs w:val="22"/>
                <w:lang w:eastAsia="en-GB"/>
              </w:rPr>
              <w:t>0.02*</w:t>
            </w:r>
          </w:p>
        </w:tc>
        <w:tc>
          <w:tcPr>
            <w:tcW w:w="940" w:type="dxa"/>
            <w:tcBorders>
              <w:top w:val="single" w:sz="4" w:space="0" w:color="auto"/>
              <w:bottom w:val="single" w:sz="4" w:space="0" w:color="auto"/>
            </w:tcBorders>
            <w:shd w:val="clear" w:color="auto" w:fill="auto"/>
            <w:noWrap/>
            <w:vAlign w:val="bottom"/>
            <w:hideMark/>
          </w:tcPr>
          <w:p w14:paraId="00971B14" w14:textId="77777777" w:rsidR="00810AB7" w:rsidRPr="00810AB7" w:rsidRDefault="00810AB7" w:rsidP="00810AB7">
            <w:pPr>
              <w:spacing w:line="240" w:lineRule="auto"/>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0.36 </w:t>
            </w:r>
          </w:p>
        </w:tc>
        <w:tc>
          <w:tcPr>
            <w:tcW w:w="940" w:type="dxa"/>
            <w:tcBorders>
              <w:top w:val="single" w:sz="4" w:space="0" w:color="auto"/>
              <w:bottom w:val="single" w:sz="4" w:space="0" w:color="auto"/>
            </w:tcBorders>
            <w:shd w:val="clear" w:color="auto" w:fill="auto"/>
            <w:noWrap/>
            <w:vAlign w:val="bottom"/>
            <w:hideMark/>
          </w:tcPr>
          <w:p w14:paraId="3FF68B42" w14:textId="77777777" w:rsidR="00810AB7" w:rsidRPr="00810AB7" w:rsidRDefault="00810AB7" w:rsidP="00810AB7">
            <w:pPr>
              <w:spacing w:line="240" w:lineRule="auto"/>
              <w:rPr>
                <w:rFonts w:ascii="Calibri" w:eastAsia="Times New Roman" w:hAnsi="Calibri" w:cs="Times New Roman"/>
                <w:i/>
                <w:iCs/>
                <w:color w:val="000000"/>
                <w:szCs w:val="22"/>
                <w:lang w:eastAsia="en-GB"/>
              </w:rPr>
            </w:pPr>
            <w:r w:rsidRPr="00810AB7">
              <w:rPr>
                <w:rFonts w:ascii="Calibri" w:eastAsia="Times New Roman" w:hAnsi="Calibri" w:cs="Times New Roman"/>
                <w:i/>
                <w:iCs/>
                <w:color w:val="000000"/>
                <w:szCs w:val="22"/>
                <w:lang w:eastAsia="en-GB"/>
              </w:rPr>
              <w:t xml:space="preserve">0.10 </w:t>
            </w:r>
          </w:p>
        </w:tc>
      </w:tr>
    </w:tbl>
    <w:p w14:paraId="43DA44A2" w14:textId="77777777" w:rsidR="00810AB7" w:rsidRPr="00810AB7" w:rsidRDefault="00810AB7" w:rsidP="00810AB7">
      <w:pPr>
        <w:spacing w:before="60" w:after="240" w:line="240" w:lineRule="auto"/>
        <w:ind w:left="284"/>
        <w:rPr>
          <w:rFonts w:ascii="Calibri" w:eastAsia="Calibri" w:hAnsi="Calibri" w:cs="Times New Roman"/>
          <w:i/>
          <w:sz w:val="20"/>
        </w:rPr>
      </w:pPr>
      <w:r w:rsidRPr="00810AB7">
        <w:rPr>
          <w:rFonts w:ascii="Calibri" w:eastAsia="Calibri" w:hAnsi="Calibri" w:cs="Times New Roman"/>
          <w:i/>
          <w:sz w:val="20"/>
        </w:rPr>
        <w:t>Source: Ipsos MORI benefits stigma survey 2012.  *=p&lt;0.05; n=2530.</w:t>
      </w:r>
    </w:p>
    <w:p w14:paraId="2787CA5A" w14:textId="77777777" w:rsidR="00810AB7" w:rsidRPr="00810AB7" w:rsidRDefault="00810AB7" w:rsidP="00810AB7">
      <w:pPr>
        <w:spacing w:after="160" w:line="259" w:lineRule="auto"/>
        <w:rPr>
          <w:rFonts w:ascii="Calibri" w:eastAsia="Calibri" w:hAnsi="Calibri" w:cs="Times New Roman"/>
        </w:rPr>
      </w:pPr>
      <w:r w:rsidRPr="00810AB7">
        <w:rPr>
          <w:rFonts w:ascii="Calibri" w:eastAsia="Calibri" w:hAnsi="Calibri" w:cs="Times New Roman"/>
        </w:rPr>
        <w:br w:type="page"/>
      </w:r>
    </w:p>
    <w:p w14:paraId="1F6AADD2" w14:textId="77777777" w:rsidR="00810AB7" w:rsidRPr="00810AB7" w:rsidRDefault="00810AB7" w:rsidP="00810AB7">
      <w:pPr>
        <w:keepNext/>
        <w:spacing w:before="240" w:after="120" w:line="240" w:lineRule="auto"/>
        <w:jc w:val="center"/>
        <w:rPr>
          <w:rFonts w:ascii="Calibri" w:eastAsia="Calibri" w:hAnsi="Calibri" w:cs="Times New Roman"/>
          <w:b/>
          <w:i/>
          <w:iCs/>
          <w:szCs w:val="18"/>
        </w:rPr>
        <w:sectPr w:rsidR="00810AB7" w:rsidRPr="00810AB7" w:rsidSect="00810AB7">
          <w:footerReference w:type="default" r:id="rId17"/>
          <w:pgSz w:w="11906" w:h="16838"/>
          <w:pgMar w:top="1440" w:right="1440" w:bottom="1440" w:left="1440" w:header="708" w:footer="708" w:gutter="0"/>
          <w:cols w:space="708"/>
          <w:docGrid w:linePitch="360"/>
        </w:sectPr>
      </w:pPr>
      <w:bookmarkStart w:id="3" w:name="_Ref396378450"/>
    </w:p>
    <w:p w14:paraId="5A9B23EF" w14:textId="77777777" w:rsidR="00810AB7" w:rsidRPr="00810AB7" w:rsidRDefault="00810AB7" w:rsidP="00810AB7">
      <w:pPr>
        <w:keepNext/>
        <w:spacing w:before="240" w:after="120" w:line="240" w:lineRule="auto"/>
        <w:jc w:val="center"/>
        <w:rPr>
          <w:rFonts w:ascii="Calibri" w:eastAsia="Calibri" w:hAnsi="Calibri" w:cs="Times New Roman"/>
          <w:b/>
          <w:i/>
          <w:iCs/>
          <w:szCs w:val="18"/>
        </w:rPr>
      </w:pPr>
      <w:r w:rsidRPr="00810AB7">
        <w:rPr>
          <w:rFonts w:ascii="Calibri" w:eastAsia="Calibri" w:hAnsi="Calibri" w:cs="Times New Roman"/>
          <w:b/>
          <w:i/>
          <w:iCs/>
          <w:szCs w:val="18"/>
        </w:rPr>
        <w:lastRenderedPageBreak/>
        <w:t xml:space="preserve">Table </w:t>
      </w:r>
      <w:r w:rsidRPr="00810AB7">
        <w:rPr>
          <w:rFonts w:ascii="Calibri" w:eastAsia="Calibri" w:hAnsi="Calibri" w:cs="Times New Roman"/>
          <w:b/>
          <w:i/>
          <w:iCs/>
          <w:szCs w:val="18"/>
        </w:rPr>
        <w:fldChar w:fldCharType="begin"/>
      </w:r>
      <w:r w:rsidRPr="00810AB7">
        <w:rPr>
          <w:rFonts w:ascii="Calibri" w:eastAsia="Calibri" w:hAnsi="Calibri" w:cs="Times New Roman"/>
          <w:b/>
          <w:i/>
          <w:iCs/>
          <w:szCs w:val="18"/>
        </w:rPr>
        <w:instrText xml:space="preserve"> SEQ Table \* ARABIC </w:instrText>
      </w:r>
      <w:r w:rsidRPr="00810AB7">
        <w:rPr>
          <w:rFonts w:ascii="Calibri" w:eastAsia="Calibri" w:hAnsi="Calibri" w:cs="Times New Roman"/>
          <w:b/>
          <w:i/>
          <w:iCs/>
          <w:szCs w:val="18"/>
        </w:rPr>
        <w:fldChar w:fldCharType="separate"/>
      </w:r>
      <w:r w:rsidRPr="00810AB7">
        <w:rPr>
          <w:rFonts w:ascii="Calibri" w:eastAsia="Calibri" w:hAnsi="Calibri" w:cs="Times New Roman"/>
          <w:b/>
          <w:i/>
          <w:iCs/>
          <w:noProof/>
          <w:szCs w:val="18"/>
        </w:rPr>
        <w:t>3</w:t>
      </w:r>
      <w:r w:rsidRPr="00810AB7">
        <w:rPr>
          <w:rFonts w:ascii="Calibri" w:eastAsia="Calibri" w:hAnsi="Calibri" w:cs="Times New Roman"/>
          <w:b/>
          <w:i/>
          <w:iCs/>
          <w:noProof/>
          <w:szCs w:val="18"/>
        </w:rPr>
        <w:fldChar w:fldCharType="end"/>
      </w:r>
      <w:r w:rsidRPr="00810AB7">
        <w:rPr>
          <w:rFonts w:ascii="Calibri" w:eastAsia="Calibri" w:hAnsi="Calibri" w:cs="Times New Roman"/>
          <w:b/>
          <w:i/>
          <w:iCs/>
          <w:szCs w:val="18"/>
        </w:rPr>
        <w:t>: Association between stigma per se and stigma as a reason for non-take-up</w:t>
      </w:r>
    </w:p>
    <w:tbl>
      <w:tblPr>
        <w:tblW w:w="10672" w:type="dxa"/>
        <w:jc w:val="center"/>
        <w:tblLook w:val="04A0" w:firstRow="1" w:lastRow="0" w:firstColumn="1" w:lastColumn="0" w:noHBand="0" w:noVBand="1"/>
      </w:tblPr>
      <w:tblGrid>
        <w:gridCol w:w="3456"/>
        <w:gridCol w:w="1180"/>
        <w:gridCol w:w="1233"/>
        <w:gridCol w:w="1179"/>
        <w:gridCol w:w="1223"/>
        <w:gridCol w:w="1223"/>
        <w:gridCol w:w="1178"/>
      </w:tblGrid>
      <w:tr w:rsidR="00810AB7" w:rsidRPr="00810AB7" w14:paraId="307BC7C8" w14:textId="77777777" w:rsidTr="00734191">
        <w:trPr>
          <w:trHeight w:val="288"/>
          <w:jc w:val="center"/>
        </w:trPr>
        <w:tc>
          <w:tcPr>
            <w:tcW w:w="3456" w:type="dxa"/>
            <w:tcBorders>
              <w:top w:val="single" w:sz="4" w:space="0" w:color="auto"/>
              <w:left w:val="nil"/>
              <w:bottom w:val="nil"/>
              <w:right w:val="nil"/>
            </w:tcBorders>
            <w:shd w:val="clear" w:color="auto" w:fill="auto"/>
            <w:noWrap/>
            <w:vAlign w:val="bottom"/>
            <w:hideMark/>
          </w:tcPr>
          <w:p w14:paraId="0CBE6F1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7216" w:type="dxa"/>
            <w:gridSpan w:val="6"/>
            <w:tcBorders>
              <w:top w:val="single" w:sz="4" w:space="0" w:color="auto"/>
              <w:left w:val="nil"/>
              <w:bottom w:val="nil"/>
              <w:right w:val="nil"/>
            </w:tcBorders>
            <w:shd w:val="clear" w:color="auto" w:fill="auto"/>
            <w:noWrap/>
            <w:vAlign w:val="bottom"/>
            <w:hideMark/>
          </w:tcPr>
          <w:p w14:paraId="00B81149" w14:textId="77777777" w:rsidR="00810AB7" w:rsidRPr="00810AB7" w:rsidRDefault="00810AB7" w:rsidP="00810AB7">
            <w:pPr>
              <w:spacing w:line="240" w:lineRule="auto"/>
              <w:jc w:val="center"/>
              <w:rPr>
                <w:rFonts w:ascii="Calibri" w:eastAsia="Times New Roman" w:hAnsi="Calibri" w:cs="Times New Roman"/>
                <w:b/>
                <w:bCs/>
                <w:i/>
                <w:iCs/>
                <w:szCs w:val="22"/>
                <w:lang w:eastAsia="en-GB"/>
              </w:rPr>
            </w:pPr>
            <w:r w:rsidRPr="00810AB7">
              <w:rPr>
                <w:rFonts w:ascii="Calibri" w:eastAsia="Times New Roman" w:hAnsi="Calibri" w:cs="Times New Roman"/>
                <w:b/>
                <w:bCs/>
                <w:i/>
                <w:iCs/>
                <w:szCs w:val="22"/>
                <w:lang w:eastAsia="en-GB"/>
              </w:rPr>
              <w:t>Stated reasons for not taking-up benefits/tax credits</w:t>
            </w:r>
          </w:p>
        </w:tc>
      </w:tr>
      <w:tr w:rsidR="00810AB7" w:rsidRPr="00810AB7" w14:paraId="77CFE0D0" w14:textId="77777777" w:rsidTr="00734191">
        <w:trPr>
          <w:trHeight w:val="552"/>
          <w:jc w:val="center"/>
        </w:trPr>
        <w:tc>
          <w:tcPr>
            <w:tcW w:w="3456" w:type="dxa"/>
            <w:tcBorders>
              <w:top w:val="nil"/>
              <w:left w:val="nil"/>
              <w:bottom w:val="single" w:sz="4" w:space="0" w:color="auto"/>
              <w:right w:val="nil"/>
            </w:tcBorders>
            <w:shd w:val="clear" w:color="auto" w:fill="auto"/>
            <w:noWrap/>
            <w:vAlign w:val="bottom"/>
            <w:hideMark/>
          </w:tcPr>
          <w:p w14:paraId="17AC0838" w14:textId="77777777" w:rsidR="00810AB7" w:rsidRPr="00810AB7" w:rsidRDefault="00810AB7" w:rsidP="00810AB7">
            <w:pPr>
              <w:spacing w:line="240" w:lineRule="auto"/>
              <w:rPr>
                <w:rFonts w:ascii="Calibri" w:eastAsia="Times New Roman" w:hAnsi="Calibri" w:cs="Times New Roman"/>
                <w:b/>
                <w:bCs/>
                <w:i/>
                <w:iCs/>
                <w:szCs w:val="22"/>
                <w:lang w:eastAsia="en-GB"/>
              </w:rPr>
            </w:pPr>
            <w:r w:rsidRPr="00810AB7">
              <w:rPr>
                <w:rFonts w:ascii="Calibri" w:eastAsia="Times New Roman" w:hAnsi="Calibri" w:cs="Times New Roman"/>
                <w:b/>
                <w:bCs/>
                <w:i/>
                <w:iCs/>
                <w:szCs w:val="22"/>
                <w:lang w:eastAsia="en-GB"/>
              </w:rPr>
              <w:t>By levels of reported stigma</w:t>
            </w:r>
          </w:p>
        </w:tc>
        <w:tc>
          <w:tcPr>
            <w:tcW w:w="1180" w:type="dxa"/>
            <w:tcBorders>
              <w:top w:val="nil"/>
              <w:left w:val="nil"/>
              <w:bottom w:val="single" w:sz="4" w:space="0" w:color="auto"/>
              <w:right w:val="nil"/>
            </w:tcBorders>
            <w:shd w:val="clear" w:color="auto" w:fill="auto"/>
            <w:vAlign w:val="bottom"/>
            <w:hideMark/>
          </w:tcPr>
          <w:p w14:paraId="3DC4130A"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Personal </w:t>
            </w:r>
            <w:r w:rsidRPr="00810AB7">
              <w:rPr>
                <w:rFonts w:ascii="Calibri" w:eastAsia="Times New Roman" w:hAnsi="Calibri" w:cs="Times New Roman"/>
                <w:szCs w:val="22"/>
                <w:lang w:eastAsia="en-GB"/>
              </w:rPr>
              <w:br/>
              <w:t>shame</w:t>
            </w:r>
          </w:p>
        </w:tc>
        <w:tc>
          <w:tcPr>
            <w:tcW w:w="1233" w:type="dxa"/>
            <w:tcBorders>
              <w:top w:val="nil"/>
              <w:left w:val="nil"/>
              <w:bottom w:val="single" w:sz="4" w:space="0" w:color="auto"/>
              <w:right w:val="nil"/>
            </w:tcBorders>
            <w:shd w:val="clear" w:color="auto" w:fill="auto"/>
            <w:vAlign w:val="bottom"/>
            <w:hideMark/>
          </w:tcPr>
          <w:p w14:paraId="261B3BCA"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Social shaming</w:t>
            </w:r>
          </w:p>
        </w:tc>
        <w:tc>
          <w:tcPr>
            <w:tcW w:w="1179" w:type="dxa"/>
            <w:tcBorders>
              <w:top w:val="nil"/>
              <w:left w:val="nil"/>
              <w:bottom w:val="single" w:sz="4" w:space="0" w:color="auto"/>
              <w:right w:val="nil"/>
            </w:tcBorders>
            <w:shd w:val="clear" w:color="auto" w:fill="auto"/>
            <w:vAlign w:val="bottom"/>
            <w:hideMark/>
          </w:tcPr>
          <w:p w14:paraId="7DD18BBF"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Claims shaming</w:t>
            </w:r>
          </w:p>
        </w:tc>
        <w:tc>
          <w:tcPr>
            <w:tcW w:w="1223" w:type="dxa"/>
            <w:tcBorders>
              <w:top w:val="nil"/>
              <w:left w:val="nil"/>
              <w:bottom w:val="single" w:sz="4" w:space="0" w:color="auto"/>
              <w:right w:val="nil"/>
            </w:tcBorders>
            <w:shd w:val="clear" w:color="auto" w:fill="auto"/>
            <w:vAlign w:val="bottom"/>
            <w:hideMark/>
          </w:tcPr>
          <w:p w14:paraId="6AEB16A5"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Any shame-related</w:t>
            </w:r>
          </w:p>
        </w:tc>
        <w:tc>
          <w:tcPr>
            <w:tcW w:w="1223" w:type="dxa"/>
            <w:tcBorders>
              <w:top w:val="nil"/>
              <w:left w:val="nil"/>
              <w:bottom w:val="single" w:sz="4" w:space="0" w:color="auto"/>
              <w:right w:val="nil"/>
            </w:tcBorders>
            <w:shd w:val="clear" w:color="auto" w:fill="auto"/>
            <w:vAlign w:val="bottom"/>
            <w:hideMark/>
          </w:tcPr>
          <w:p w14:paraId="57D0A64F"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Non shame-related</w:t>
            </w:r>
          </w:p>
        </w:tc>
        <w:tc>
          <w:tcPr>
            <w:tcW w:w="1178" w:type="dxa"/>
            <w:tcBorders>
              <w:top w:val="nil"/>
              <w:left w:val="nil"/>
              <w:bottom w:val="single" w:sz="4" w:space="0" w:color="auto"/>
              <w:right w:val="nil"/>
            </w:tcBorders>
            <w:shd w:val="clear" w:color="auto" w:fill="auto"/>
            <w:vAlign w:val="bottom"/>
            <w:hideMark/>
          </w:tcPr>
          <w:p w14:paraId="7A8913F7"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Would </w:t>
            </w:r>
            <w:r w:rsidRPr="00810AB7">
              <w:rPr>
                <w:rFonts w:ascii="Calibri" w:eastAsia="Times New Roman" w:hAnsi="Calibri" w:cs="Times New Roman"/>
                <w:szCs w:val="22"/>
                <w:lang w:eastAsia="en-GB"/>
              </w:rPr>
              <w:br/>
              <w:t>claim</w:t>
            </w:r>
          </w:p>
        </w:tc>
      </w:tr>
      <w:tr w:rsidR="00810AB7" w:rsidRPr="00810AB7" w14:paraId="3E9C012A" w14:textId="77777777" w:rsidTr="00734191">
        <w:trPr>
          <w:trHeight w:val="288"/>
          <w:jc w:val="center"/>
        </w:trPr>
        <w:tc>
          <w:tcPr>
            <w:tcW w:w="3456" w:type="dxa"/>
            <w:tcBorders>
              <w:top w:val="nil"/>
              <w:left w:val="nil"/>
              <w:bottom w:val="nil"/>
              <w:right w:val="nil"/>
            </w:tcBorders>
            <w:shd w:val="clear" w:color="auto" w:fill="auto"/>
            <w:noWrap/>
            <w:vAlign w:val="bottom"/>
            <w:hideMark/>
          </w:tcPr>
          <w:p w14:paraId="7CF095F4"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By felt stigma</w:t>
            </w:r>
          </w:p>
        </w:tc>
        <w:tc>
          <w:tcPr>
            <w:tcW w:w="1180" w:type="dxa"/>
            <w:tcBorders>
              <w:top w:val="nil"/>
              <w:left w:val="nil"/>
              <w:bottom w:val="nil"/>
              <w:right w:val="nil"/>
            </w:tcBorders>
            <w:shd w:val="clear" w:color="auto" w:fill="auto"/>
            <w:noWrap/>
            <w:vAlign w:val="bottom"/>
            <w:hideMark/>
          </w:tcPr>
          <w:p w14:paraId="34B59E5D" w14:textId="77777777" w:rsidR="00810AB7" w:rsidRPr="00810AB7" w:rsidRDefault="00810AB7" w:rsidP="00810AB7">
            <w:pPr>
              <w:spacing w:line="240" w:lineRule="auto"/>
              <w:jc w:val="right"/>
              <w:rPr>
                <w:rFonts w:ascii="Calibri" w:eastAsia="Times New Roman" w:hAnsi="Calibri" w:cs="Arial"/>
                <w:b/>
                <w:bCs/>
                <w:i/>
                <w:szCs w:val="22"/>
                <w:lang w:eastAsia="en-GB"/>
              </w:rPr>
            </w:pPr>
            <w:r w:rsidRPr="00810AB7">
              <w:rPr>
                <w:rFonts w:ascii="Calibri" w:eastAsia="Times New Roman" w:hAnsi="Calibri" w:cs="Arial"/>
                <w:b/>
                <w:bCs/>
                <w:i/>
                <w:szCs w:val="22"/>
                <w:lang w:eastAsia="en-GB"/>
              </w:rPr>
              <w:t>**</w:t>
            </w:r>
          </w:p>
        </w:tc>
        <w:tc>
          <w:tcPr>
            <w:tcW w:w="1233" w:type="dxa"/>
            <w:tcBorders>
              <w:top w:val="nil"/>
              <w:left w:val="nil"/>
              <w:bottom w:val="nil"/>
              <w:right w:val="nil"/>
            </w:tcBorders>
            <w:shd w:val="clear" w:color="auto" w:fill="auto"/>
            <w:noWrap/>
            <w:vAlign w:val="bottom"/>
            <w:hideMark/>
          </w:tcPr>
          <w:p w14:paraId="36891ED7" w14:textId="77777777" w:rsidR="00810AB7" w:rsidRPr="00810AB7" w:rsidRDefault="00810AB7" w:rsidP="00810AB7">
            <w:pPr>
              <w:spacing w:line="240" w:lineRule="auto"/>
              <w:jc w:val="right"/>
              <w:rPr>
                <w:rFonts w:ascii="Calibri" w:eastAsia="Times New Roman" w:hAnsi="Calibri" w:cs="Arial"/>
                <w:i/>
                <w:sz w:val="20"/>
                <w:szCs w:val="20"/>
                <w:lang w:eastAsia="en-GB"/>
              </w:rPr>
            </w:pPr>
            <w:r w:rsidRPr="00810AB7">
              <w:rPr>
                <w:rFonts w:ascii="Calibri" w:eastAsia="Times New Roman" w:hAnsi="Calibri" w:cs="Arial"/>
                <w:i/>
                <w:sz w:val="20"/>
                <w:szCs w:val="20"/>
                <w:lang w:eastAsia="en-GB"/>
              </w:rPr>
              <w:t>ns</w:t>
            </w:r>
          </w:p>
        </w:tc>
        <w:tc>
          <w:tcPr>
            <w:tcW w:w="1179" w:type="dxa"/>
            <w:tcBorders>
              <w:top w:val="nil"/>
              <w:left w:val="nil"/>
              <w:bottom w:val="nil"/>
              <w:right w:val="nil"/>
            </w:tcBorders>
            <w:shd w:val="clear" w:color="auto" w:fill="auto"/>
            <w:noWrap/>
            <w:vAlign w:val="bottom"/>
            <w:hideMark/>
          </w:tcPr>
          <w:p w14:paraId="4570FBC4" w14:textId="77777777" w:rsidR="00810AB7" w:rsidRPr="00810AB7" w:rsidRDefault="00810AB7" w:rsidP="00810AB7">
            <w:pPr>
              <w:spacing w:line="240" w:lineRule="auto"/>
              <w:jc w:val="right"/>
              <w:rPr>
                <w:rFonts w:ascii="Calibri" w:eastAsia="Times New Roman" w:hAnsi="Calibri" w:cs="Arial"/>
                <w:i/>
                <w:sz w:val="20"/>
                <w:szCs w:val="20"/>
                <w:lang w:eastAsia="en-GB"/>
              </w:rPr>
            </w:pPr>
            <w:r w:rsidRPr="00810AB7">
              <w:rPr>
                <w:rFonts w:ascii="Calibri" w:eastAsia="Times New Roman" w:hAnsi="Calibri" w:cs="Arial"/>
                <w:i/>
                <w:sz w:val="20"/>
                <w:szCs w:val="20"/>
                <w:lang w:eastAsia="en-GB"/>
              </w:rPr>
              <w:t>ns</w:t>
            </w:r>
          </w:p>
        </w:tc>
        <w:tc>
          <w:tcPr>
            <w:tcW w:w="1223" w:type="dxa"/>
            <w:tcBorders>
              <w:top w:val="nil"/>
              <w:left w:val="nil"/>
              <w:bottom w:val="nil"/>
              <w:right w:val="nil"/>
            </w:tcBorders>
            <w:shd w:val="clear" w:color="auto" w:fill="auto"/>
            <w:noWrap/>
            <w:vAlign w:val="bottom"/>
            <w:hideMark/>
          </w:tcPr>
          <w:p w14:paraId="1A7769FE" w14:textId="77777777" w:rsidR="00810AB7" w:rsidRPr="00810AB7" w:rsidRDefault="00810AB7" w:rsidP="00810AB7">
            <w:pPr>
              <w:spacing w:line="240" w:lineRule="auto"/>
              <w:jc w:val="right"/>
              <w:rPr>
                <w:rFonts w:ascii="Calibri" w:eastAsia="Times New Roman" w:hAnsi="Calibri" w:cs="Arial"/>
                <w:i/>
                <w:sz w:val="20"/>
                <w:szCs w:val="20"/>
                <w:lang w:eastAsia="en-GB"/>
              </w:rPr>
            </w:pPr>
            <w:r w:rsidRPr="00810AB7">
              <w:rPr>
                <w:rFonts w:ascii="Calibri" w:eastAsia="Times New Roman" w:hAnsi="Calibri" w:cs="Arial"/>
                <w:i/>
                <w:sz w:val="20"/>
                <w:szCs w:val="20"/>
                <w:lang w:eastAsia="en-GB"/>
              </w:rPr>
              <w:t>**</w:t>
            </w:r>
          </w:p>
        </w:tc>
        <w:tc>
          <w:tcPr>
            <w:tcW w:w="1223" w:type="dxa"/>
            <w:tcBorders>
              <w:top w:val="nil"/>
              <w:left w:val="nil"/>
              <w:bottom w:val="nil"/>
              <w:right w:val="nil"/>
            </w:tcBorders>
            <w:shd w:val="clear" w:color="auto" w:fill="auto"/>
            <w:noWrap/>
            <w:vAlign w:val="bottom"/>
            <w:hideMark/>
          </w:tcPr>
          <w:p w14:paraId="7229FC4D" w14:textId="77777777" w:rsidR="00810AB7" w:rsidRPr="00810AB7" w:rsidRDefault="00810AB7" w:rsidP="00810AB7">
            <w:pPr>
              <w:spacing w:line="240" w:lineRule="auto"/>
              <w:jc w:val="right"/>
              <w:rPr>
                <w:rFonts w:ascii="Calibri" w:eastAsia="Times New Roman" w:hAnsi="Calibri" w:cs="Arial"/>
                <w:i/>
                <w:sz w:val="20"/>
                <w:szCs w:val="20"/>
                <w:lang w:eastAsia="en-GB"/>
              </w:rPr>
            </w:pPr>
            <w:r w:rsidRPr="00810AB7">
              <w:rPr>
                <w:rFonts w:ascii="Calibri" w:eastAsia="Times New Roman" w:hAnsi="Calibri" w:cs="Arial"/>
                <w:i/>
                <w:sz w:val="20"/>
                <w:szCs w:val="20"/>
                <w:lang w:eastAsia="en-GB"/>
              </w:rPr>
              <w:t>ns</w:t>
            </w:r>
          </w:p>
        </w:tc>
        <w:tc>
          <w:tcPr>
            <w:tcW w:w="1178" w:type="dxa"/>
            <w:tcBorders>
              <w:top w:val="nil"/>
              <w:left w:val="nil"/>
              <w:bottom w:val="nil"/>
              <w:right w:val="nil"/>
            </w:tcBorders>
            <w:shd w:val="clear" w:color="auto" w:fill="auto"/>
            <w:noWrap/>
            <w:vAlign w:val="bottom"/>
            <w:hideMark/>
          </w:tcPr>
          <w:p w14:paraId="4FC11DAB" w14:textId="77777777" w:rsidR="00810AB7" w:rsidRPr="00810AB7" w:rsidRDefault="00810AB7" w:rsidP="00810AB7">
            <w:pPr>
              <w:spacing w:line="240" w:lineRule="auto"/>
              <w:jc w:val="right"/>
              <w:rPr>
                <w:rFonts w:ascii="Calibri" w:eastAsia="Times New Roman" w:hAnsi="Calibri" w:cs="Arial"/>
                <w:i/>
                <w:sz w:val="20"/>
                <w:szCs w:val="20"/>
                <w:lang w:eastAsia="en-GB"/>
              </w:rPr>
            </w:pPr>
            <w:r w:rsidRPr="00810AB7">
              <w:rPr>
                <w:rFonts w:ascii="Calibri" w:eastAsia="Times New Roman" w:hAnsi="Calibri" w:cs="Arial"/>
                <w:i/>
                <w:sz w:val="20"/>
                <w:szCs w:val="20"/>
                <w:lang w:eastAsia="en-GB"/>
              </w:rPr>
              <w:t>**</w:t>
            </w:r>
          </w:p>
        </w:tc>
      </w:tr>
      <w:tr w:rsidR="00810AB7" w:rsidRPr="00810AB7" w14:paraId="6C5AEC44" w14:textId="77777777" w:rsidTr="00734191">
        <w:trPr>
          <w:trHeight w:val="288"/>
          <w:jc w:val="center"/>
        </w:trPr>
        <w:tc>
          <w:tcPr>
            <w:tcW w:w="3456" w:type="dxa"/>
            <w:tcBorders>
              <w:top w:val="nil"/>
              <w:left w:val="nil"/>
              <w:bottom w:val="nil"/>
              <w:right w:val="nil"/>
            </w:tcBorders>
            <w:shd w:val="clear" w:color="auto" w:fill="auto"/>
            <w:noWrap/>
            <w:vAlign w:val="bottom"/>
            <w:hideMark/>
          </w:tcPr>
          <w:p w14:paraId="01E56C26"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those disagreeing</w:t>
            </w:r>
          </w:p>
        </w:tc>
        <w:tc>
          <w:tcPr>
            <w:tcW w:w="1180" w:type="dxa"/>
            <w:tcBorders>
              <w:top w:val="nil"/>
              <w:left w:val="nil"/>
              <w:bottom w:val="nil"/>
              <w:right w:val="nil"/>
            </w:tcBorders>
            <w:shd w:val="clear" w:color="auto" w:fill="auto"/>
            <w:noWrap/>
            <w:vAlign w:val="bottom"/>
            <w:hideMark/>
          </w:tcPr>
          <w:p w14:paraId="597290A5"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13.6%</w:t>
            </w:r>
          </w:p>
        </w:tc>
        <w:tc>
          <w:tcPr>
            <w:tcW w:w="1233" w:type="dxa"/>
            <w:tcBorders>
              <w:top w:val="nil"/>
              <w:left w:val="nil"/>
              <w:bottom w:val="nil"/>
              <w:right w:val="nil"/>
            </w:tcBorders>
            <w:shd w:val="clear" w:color="auto" w:fill="auto"/>
            <w:noWrap/>
            <w:vAlign w:val="bottom"/>
            <w:hideMark/>
          </w:tcPr>
          <w:p w14:paraId="1B23F58B"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4.2%</w:t>
            </w:r>
          </w:p>
        </w:tc>
        <w:tc>
          <w:tcPr>
            <w:tcW w:w="1179" w:type="dxa"/>
            <w:tcBorders>
              <w:top w:val="nil"/>
              <w:left w:val="nil"/>
              <w:bottom w:val="nil"/>
              <w:right w:val="nil"/>
            </w:tcBorders>
            <w:shd w:val="clear" w:color="auto" w:fill="auto"/>
            <w:noWrap/>
            <w:vAlign w:val="bottom"/>
            <w:hideMark/>
          </w:tcPr>
          <w:p w14:paraId="4D8F99AE"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13.2%</w:t>
            </w:r>
          </w:p>
        </w:tc>
        <w:tc>
          <w:tcPr>
            <w:tcW w:w="1223" w:type="dxa"/>
            <w:tcBorders>
              <w:top w:val="nil"/>
              <w:left w:val="nil"/>
              <w:bottom w:val="nil"/>
              <w:right w:val="nil"/>
            </w:tcBorders>
            <w:shd w:val="clear" w:color="auto" w:fill="auto"/>
            <w:noWrap/>
            <w:vAlign w:val="bottom"/>
            <w:hideMark/>
          </w:tcPr>
          <w:p w14:paraId="19078D4B"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23.9%</w:t>
            </w:r>
          </w:p>
        </w:tc>
        <w:tc>
          <w:tcPr>
            <w:tcW w:w="1223" w:type="dxa"/>
            <w:tcBorders>
              <w:top w:val="nil"/>
              <w:left w:val="nil"/>
              <w:bottom w:val="nil"/>
              <w:right w:val="nil"/>
            </w:tcBorders>
            <w:shd w:val="clear" w:color="auto" w:fill="auto"/>
            <w:noWrap/>
            <w:vAlign w:val="bottom"/>
            <w:hideMark/>
          </w:tcPr>
          <w:p w14:paraId="51C42AFF"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23.8%</w:t>
            </w:r>
          </w:p>
        </w:tc>
        <w:tc>
          <w:tcPr>
            <w:tcW w:w="1178" w:type="dxa"/>
            <w:tcBorders>
              <w:top w:val="nil"/>
              <w:left w:val="nil"/>
              <w:bottom w:val="nil"/>
              <w:right w:val="nil"/>
            </w:tcBorders>
            <w:shd w:val="clear" w:color="auto" w:fill="auto"/>
            <w:noWrap/>
            <w:vAlign w:val="bottom"/>
            <w:hideMark/>
          </w:tcPr>
          <w:p w14:paraId="6DB24DAE"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59.7%</w:t>
            </w:r>
          </w:p>
        </w:tc>
      </w:tr>
      <w:tr w:rsidR="00810AB7" w:rsidRPr="00810AB7" w14:paraId="7C6F05E1" w14:textId="77777777" w:rsidTr="00734191">
        <w:trPr>
          <w:trHeight w:val="288"/>
          <w:jc w:val="center"/>
        </w:trPr>
        <w:tc>
          <w:tcPr>
            <w:tcW w:w="3456" w:type="dxa"/>
            <w:tcBorders>
              <w:top w:val="nil"/>
              <w:left w:val="nil"/>
              <w:right w:val="nil"/>
            </w:tcBorders>
            <w:shd w:val="clear" w:color="auto" w:fill="auto"/>
            <w:noWrap/>
            <w:vAlign w:val="bottom"/>
            <w:hideMark/>
          </w:tcPr>
          <w:p w14:paraId="7726E7A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neither disagree or agreeing</w:t>
            </w:r>
          </w:p>
        </w:tc>
        <w:tc>
          <w:tcPr>
            <w:tcW w:w="1180" w:type="dxa"/>
            <w:tcBorders>
              <w:top w:val="nil"/>
              <w:left w:val="nil"/>
              <w:right w:val="nil"/>
            </w:tcBorders>
            <w:shd w:val="clear" w:color="auto" w:fill="auto"/>
            <w:noWrap/>
            <w:vAlign w:val="bottom"/>
            <w:hideMark/>
          </w:tcPr>
          <w:p w14:paraId="2A921B15"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15.1%</w:t>
            </w:r>
          </w:p>
        </w:tc>
        <w:tc>
          <w:tcPr>
            <w:tcW w:w="1233" w:type="dxa"/>
            <w:tcBorders>
              <w:top w:val="nil"/>
              <w:left w:val="nil"/>
              <w:right w:val="nil"/>
            </w:tcBorders>
            <w:shd w:val="clear" w:color="auto" w:fill="auto"/>
            <w:noWrap/>
            <w:vAlign w:val="bottom"/>
            <w:hideMark/>
          </w:tcPr>
          <w:p w14:paraId="4225C2A1"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2.8%</w:t>
            </w:r>
          </w:p>
        </w:tc>
        <w:tc>
          <w:tcPr>
            <w:tcW w:w="1179" w:type="dxa"/>
            <w:tcBorders>
              <w:top w:val="nil"/>
              <w:left w:val="nil"/>
              <w:right w:val="nil"/>
            </w:tcBorders>
            <w:shd w:val="clear" w:color="auto" w:fill="auto"/>
            <w:noWrap/>
            <w:vAlign w:val="bottom"/>
            <w:hideMark/>
          </w:tcPr>
          <w:p w14:paraId="3DA877B3"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10.2%</w:t>
            </w:r>
          </w:p>
        </w:tc>
        <w:tc>
          <w:tcPr>
            <w:tcW w:w="1223" w:type="dxa"/>
            <w:tcBorders>
              <w:top w:val="nil"/>
              <w:left w:val="nil"/>
              <w:right w:val="nil"/>
            </w:tcBorders>
            <w:shd w:val="clear" w:color="auto" w:fill="auto"/>
            <w:noWrap/>
            <w:vAlign w:val="bottom"/>
            <w:hideMark/>
          </w:tcPr>
          <w:p w14:paraId="0304E65F"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23.9%</w:t>
            </w:r>
          </w:p>
        </w:tc>
        <w:tc>
          <w:tcPr>
            <w:tcW w:w="1223" w:type="dxa"/>
            <w:tcBorders>
              <w:top w:val="nil"/>
              <w:left w:val="nil"/>
              <w:right w:val="nil"/>
            </w:tcBorders>
            <w:shd w:val="clear" w:color="auto" w:fill="auto"/>
            <w:noWrap/>
            <w:vAlign w:val="bottom"/>
            <w:hideMark/>
          </w:tcPr>
          <w:p w14:paraId="6E0683E8"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25.2%</w:t>
            </w:r>
          </w:p>
        </w:tc>
        <w:tc>
          <w:tcPr>
            <w:tcW w:w="1178" w:type="dxa"/>
            <w:tcBorders>
              <w:top w:val="nil"/>
              <w:left w:val="nil"/>
              <w:right w:val="nil"/>
            </w:tcBorders>
            <w:shd w:val="clear" w:color="auto" w:fill="auto"/>
            <w:noWrap/>
            <w:vAlign w:val="bottom"/>
            <w:hideMark/>
          </w:tcPr>
          <w:p w14:paraId="0AFF3A5F"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56.3%</w:t>
            </w:r>
          </w:p>
        </w:tc>
      </w:tr>
      <w:tr w:rsidR="00810AB7" w:rsidRPr="00810AB7" w14:paraId="205C2A07" w14:textId="77777777" w:rsidTr="00734191">
        <w:trPr>
          <w:trHeight w:val="288"/>
          <w:jc w:val="center"/>
        </w:trPr>
        <w:tc>
          <w:tcPr>
            <w:tcW w:w="3456" w:type="dxa"/>
            <w:tcBorders>
              <w:top w:val="nil"/>
              <w:left w:val="nil"/>
              <w:bottom w:val="single" w:sz="4" w:space="0" w:color="auto"/>
              <w:right w:val="nil"/>
            </w:tcBorders>
            <w:shd w:val="clear" w:color="auto" w:fill="auto"/>
            <w:noWrap/>
            <w:vAlign w:val="bottom"/>
            <w:hideMark/>
          </w:tcPr>
          <w:p w14:paraId="4A4191DB"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those agreeing</w:t>
            </w:r>
          </w:p>
        </w:tc>
        <w:tc>
          <w:tcPr>
            <w:tcW w:w="1180" w:type="dxa"/>
            <w:tcBorders>
              <w:top w:val="nil"/>
              <w:left w:val="nil"/>
              <w:bottom w:val="single" w:sz="4" w:space="0" w:color="auto"/>
              <w:right w:val="nil"/>
            </w:tcBorders>
            <w:shd w:val="clear" w:color="auto" w:fill="auto"/>
            <w:noWrap/>
            <w:vAlign w:val="bottom"/>
            <w:hideMark/>
          </w:tcPr>
          <w:p w14:paraId="508567D5"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28.8%</w:t>
            </w:r>
          </w:p>
        </w:tc>
        <w:tc>
          <w:tcPr>
            <w:tcW w:w="1233" w:type="dxa"/>
            <w:tcBorders>
              <w:top w:val="nil"/>
              <w:left w:val="nil"/>
              <w:bottom w:val="single" w:sz="4" w:space="0" w:color="auto"/>
              <w:right w:val="nil"/>
            </w:tcBorders>
            <w:shd w:val="clear" w:color="auto" w:fill="auto"/>
            <w:noWrap/>
            <w:vAlign w:val="bottom"/>
            <w:hideMark/>
          </w:tcPr>
          <w:p w14:paraId="28ED3816"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5.6%</w:t>
            </w:r>
          </w:p>
        </w:tc>
        <w:tc>
          <w:tcPr>
            <w:tcW w:w="1179" w:type="dxa"/>
            <w:tcBorders>
              <w:top w:val="nil"/>
              <w:left w:val="nil"/>
              <w:bottom w:val="single" w:sz="4" w:space="0" w:color="auto"/>
              <w:right w:val="nil"/>
            </w:tcBorders>
            <w:shd w:val="clear" w:color="auto" w:fill="auto"/>
            <w:noWrap/>
            <w:vAlign w:val="bottom"/>
            <w:hideMark/>
          </w:tcPr>
          <w:p w14:paraId="2F8D7870"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13.1%</w:t>
            </w:r>
          </w:p>
        </w:tc>
        <w:tc>
          <w:tcPr>
            <w:tcW w:w="1223" w:type="dxa"/>
            <w:tcBorders>
              <w:top w:val="nil"/>
              <w:left w:val="nil"/>
              <w:bottom w:val="single" w:sz="4" w:space="0" w:color="auto"/>
              <w:right w:val="nil"/>
            </w:tcBorders>
            <w:shd w:val="clear" w:color="auto" w:fill="auto"/>
            <w:noWrap/>
            <w:vAlign w:val="bottom"/>
            <w:hideMark/>
          </w:tcPr>
          <w:p w14:paraId="61522F5C"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36.8%</w:t>
            </w:r>
          </w:p>
        </w:tc>
        <w:tc>
          <w:tcPr>
            <w:tcW w:w="1223" w:type="dxa"/>
            <w:tcBorders>
              <w:top w:val="nil"/>
              <w:left w:val="nil"/>
              <w:bottom w:val="single" w:sz="4" w:space="0" w:color="auto"/>
              <w:right w:val="nil"/>
            </w:tcBorders>
            <w:shd w:val="clear" w:color="auto" w:fill="auto"/>
            <w:noWrap/>
            <w:vAlign w:val="bottom"/>
            <w:hideMark/>
          </w:tcPr>
          <w:p w14:paraId="28EFD1FC"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25.4%</w:t>
            </w:r>
          </w:p>
        </w:tc>
        <w:tc>
          <w:tcPr>
            <w:tcW w:w="1178" w:type="dxa"/>
            <w:tcBorders>
              <w:top w:val="nil"/>
              <w:left w:val="nil"/>
              <w:bottom w:val="single" w:sz="4" w:space="0" w:color="auto"/>
              <w:right w:val="nil"/>
            </w:tcBorders>
            <w:shd w:val="clear" w:color="auto" w:fill="auto"/>
            <w:noWrap/>
            <w:vAlign w:val="bottom"/>
            <w:hideMark/>
          </w:tcPr>
          <w:p w14:paraId="13578A2A"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47.1%</w:t>
            </w:r>
          </w:p>
        </w:tc>
      </w:tr>
      <w:tr w:rsidR="00810AB7" w:rsidRPr="00810AB7" w14:paraId="75F54996" w14:textId="77777777" w:rsidTr="00734191">
        <w:trPr>
          <w:trHeight w:val="288"/>
          <w:jc w:val="center"/>
        </w:trPr>
        <w:tc>
          <w:tcPr>
            <w:tcW w:w="3456" w:type="dxa"/>
            <w:tcBorders>
              <w:top w:val="single" w:sz="4" w:space="0" w:color="auto"/>
              <w:left w:val="nil"/>
              <w:bottom w:val="nil"/>
              <w:right w:val="nil"/>
            </w:tcBorders>
            <w:shd w:val="clear" w:color="auto" w:fill="auto"/>
            <w:noWrap/>
            <w:vAlign w:val="bottom"/>
            <w:hideMark/>
          </w:tcPr>
          <w:p w14:paraId="0AC50DF0"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By stigmatisation</w:t>
            </w:r>
          </w:p>
        </w:tc>
        <w:tc>
          <w:tcPr>
            <w:tcW w:w="1180" w:type="dxa"/>
            <w:tcBorders>
              <w:top w:val="single" w:sz="4" w:space="0" w:color="auto"/>
              <w:left w:val="nil"/>
              <w:bottom w:val="nil"/>
              <w:right w:val="nil"/>
            </w:tcBorders>
            <w:shd w:val="clear" w:color="auto" w:fill="auto"/>
            <w:noWrap/>
            <w:vAlign w:val="bottom"/>
            <w:hideMark/>
          </w:tcPr>
          <w:p w14:paraId="44B456ED" w14:textId="77777777" w:rsidR="00810AB7" w:rsidRPr="00810AB7" w:rsidRDefault="00810AB7" w:rsidP="00810AB7">
            <w:pPr>
              <w:spacing w:line="240" w:lineRule="auto"/>
              <w:jc w:val="right"/>
              <w:rPr>
                <w:rFonts w:ascii="Calibri" w:eastAsia="Times New Roman" w:hAnsi="Calibri" w:cs="Times New Roman"/>
                <w:b/>
                <w:bCs/>
                <w:szCs w:val="22"/>
                <w:lang w:eastAsia="en-GB"/>
              </w:rPr>
            </w:pPr>
            <w:r w:rsidRPr="00810AB7">
              <w:rPr>
                <w:rFonts w:ascii="Calibri" w:eastAsia="Times New Roman" w:hAnsi="Calibri" w:cs="Arial"/>
                <w:b/>
                <w:bCs/>
                <w:i/>
                <w:szCs w:val="22"/>
                <w:lang w:eastAsia="en-GB"/>
              </w:rPr>
              <w:t>**</w:t>
            </w:r>
          </w:p>
        </w:tc>
        <w:tc>
          <w:tcPr>
            <w:tcW w:w="1233" w:type="dxa"/>
            <w:tcBorders>
              <w:top w:val="single" w:sz="4" w:space="0" w:color="auto"/>
              <w:left w:val="nil"/>
              <w:bottom w:val="nil"/>
              <w:right w:val="nil"/>
            </w:tcBorders>
            <w:shd w:val="clear" w:color="auto" w:fill="auto"/>
            <w:noWrap/>
            <w:vAlign w:val="bottom"/>
            <w:hideMark/>
          </w:tcPr>
          <w:p w14:paraId="5577986A"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c>
          <w:tcPr>
            <w:tcW w:w="1179" w:type="dxa"/>
            <w:tcBorders>
              <w:top w:val="single" w:sz="4" w:space="0" w:color="auto"/>
              <w:left w:val="nil"/>
              <w:bottom w:val="nil"/>
              <w:right w:val="nil"/>
            </w:tcBorders>
            <w:shd w:val="clear" w:color="auto" w:fill="auto"/>
            <w:noWrap/>
            <w:vAlign w:val="bottom"/>
            <w:hideMark/>
          </w:tcPr>
          <w:p w14:paraId="681EFDEF"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c>
          <w:tcPr>
            <w:tcW w:w="1223" w:type="dxa"/>
            <w:tcBorders>
              <w:top w:val="single" w:sz="4" w:space="0" w:color="auto"/>
              <w:left w:val="nil"/>
              <w:bottom w:val="nil"/>
              <w:right w:val="nil"/>
            </w:tcBorders>
            <w:shd w:val="clear" w:color="auto" w:fill="auto"/>
            <w:noWrap/>
            <w:vAlign w:val="bottom"/>
            <w:hideMark/>
          </w:tcPr>
          <w:p w14:paraId="0800BB74"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c>
          <w:tcPr>
            <w:tcW w:w="1223" w:type="dxa"/>
            <w:tcBorders>
              <w:top w:val="single" w:sz="4" w:space="0" w:color="auto"/>
              <w:left w:val="nil"/>
              <w:bottom w:val="nil"/>
              <w:right w:val="nil"/>
            </w:tcBorders>
            <w:shd w:val="clear" w:color="auto" w:fill="auto"/>
            <w:noWrap/>
            <w:vAlign w:val="bottom"/>
            <w:hideMark/>
          </w:tcPr>
          <w:p w14:paraId="1F240DC3"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ns</w:t>
            </w:r>
          </w:p>
        </w:tc>
        <w:tc>
          <w:tcPr>
            <w:tcW w:w="1178" w:type="dxa"/>
            <w:tcBorders>
              <w:top w:val="single" w:sz="4" w:space="0" w:color="auto"/>
              <w:left w:val="nil"/>
              <w:bottom w:val="nil"/>
              <w:right w:val="nil"/>
            </w:tcBorders>
            <w:shd w:val="clear" w:color="auto" w:fill="auto"/>
            <w:noWrap/>
            <w:vAlign w:val="bottom"/>
            <w:hideMark/>
          </w:tcPr>
          <w:p w14:paraId="4530A34B"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r>
      <w:tr w:rsidR="00810AB7" w:rsidRPr="00810AB7" w14:paraId="31139464" w14:textId="77777777" w:rsidTr="00734191">
        <w:trPr>
          <w:trHeight w:val="288"/>
          <w:jc w:val="center"/>
        </w:trPr>
        <w:tc>
          <w:tcPr>
            <w:tcW w:w="3456" w:type="dxa"/>
            <w:tcBorders>
              <w:top w:val="nil"/>
              <w:left w:val="nil"/>
              <w:bottom w:val="nil"/>
              <w:right w:val="nil"/>
            </w:tcBorders>
            <w:shd w:val="clear" w:color="auto" w:fill="auto"/>
            <w:noWrap/>
            <w:vAlign w:val="bottom"/>
            <w:hideMark/>
          </w:tcPr>
          <w:p w14:paraId="5E14FB6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those disagreeing</w:t>
            </w:r>
          </w:p>
        </w:tc>
        <w:tc>
          <w:tcPr>
            <w:tcW w:w="1180" w:type="dxa"/>
            <w:tcBorders>
              <w:top w:val="nil"/>
              <w:left w:val="nil"/>
              <w:bottom w:val="nil"/>
              <w:right w:val="nil"/>
            </w:tcBorders>
            <w:shd w:val="clear" w:color="auto" w:fill="auto"/>
            <w:noWrap/>
            <w:vAlign w:val="bottom"/>
            <w:hideMark/>
          </w:tcPr>
          <w:p w14:paraId="65FE48B5"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14.4%</w:t>
            </w:r>
          </w:p>
        </w:tc>
        <w:tc>
          <w:tcPr>
            <w:tcW w:w="1233" w:type="dxa"/>
            <w:tcBorders>
              <w:top w:val="nil"/>
              <w:left w:val="nil"/>
              <w:bottom w:val="nil"/>
              <w:right w:val="nil"/>
            </w:tcBorders>
            <w:shd w:val="clear" w:color="auto" w:fill="auto"/>
            <w:noWrap/>
            <w:vAlign w:val="bottom"/>
            <w:hideMark/>
          </w:tcPr>
          <w:p w14:paraId="673825DD"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3.5%</w:t>
            </w:r>
          </w:p>
        </w:tc>
        <w:tc>
          <w:tcPr>
            <w:tcW w:w="1179" w:type="dxa"/>
            <w:tcBorders>
              <w:top w:val="nil"/>
              <w:left w:val="nil"/>
              <w:bottom w:val="nil"/>
              <w:right w:val="nil"/>
            </w:tcBorders>
            <w:shd w:val="clear" w:color="auto" w:fill="auto"/>
            <w:noWrap/>
            <w:vAlign w:val="bottom"/>
            <w:hideMark/>
          </w:tcPr>
          <w:p w14:paraId="70116E84"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11.6%</w:t>
            </w:r>
          </w:p>
        </w:tc>
        <w:tc>
          <w:tcPr>
            <w:tcW w:w="1223" w:type="dxa"/>
            <w:tcBorders>
              <w:top w:val="nil"/>
              <w:left w:val="nil"/>
              <w:bottom w:val="nil"/>
              <w:right w:val="nil"/>
            </w:tcBorders>
            <w:shd w:val="clear" w:color="auto" w:fill="auto"/>
            <w:noWrap/>
            <w:vAlign w:val="bottom"/>
            <w:hideMark/>
          </w:tcPr>
          <w:p w14:paraId="67C9B8FC"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23.3%</w:t>
            </w:r>
          </w:p>
        </w:tc>
        <w:tc>
          <w:tcPr>
            <w:tcW w:w="1223" w:type="dxa"/>
            <w:tcBorders>
              <w:top w:val="nil"/>
              <w:left w:val="nil"/>
              <w:bottom w:val="nil"/>
              <w:right w:val="nil"/>
            </w:tcBorders>
            <w:shd w:val="clear" w:color="auto" w:fill="auto"/>
            <w:noWrap/>
            <w:vAlign w:val="bottom"/>
            <w:hideMark/>
          </w:tcPr>
          <w:p w14:paraId="40CA7F20"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24.7%</w:t>
            </w:r>
          </w:p>
        </w:tc>
        <w:tc>
          <w:tcPr>
            <w:tcW w:w="1178" w:type="dxa"/>
            <w:tcBorders>
              <w:top w:val="nil"/>
              <w:left w:val="nil"/>
              <w:bottom w:val="nil"/>
              <w:right w:val="nil"/>
            </w:tcBorders>
            <w:shd w:val="clear" w:color="auto" w:fill="auto"/>
            <w:noWrap/>
            <w:vAlign w:val="bottom"/>
            <w:hideMark/>
          </w:tcPr>
          <w:p w14:paraId="337BD7D3"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59.1%</w:t>
            </w:r>
          </w:p>
        </w:tc>
      </w:tr>
      <w:tr w:rsidR="00810AB7" w:rsidRPr="00810AB7" w14:paraId="7CF59C3D" w14:textId="77777777" w:rsidTr="00734191">
        <w:trPr>
          <w:trHeight w:val="288"/>
          <w:jc w:val="center"/>
        </w:trPr>
        <w:tc>
          <w:tcPr>
            <w:tcW w:w="3456" w:type="dxa"/>
            <w:tcBorders>
              <w:top w:val="nil"/>
              <w:left w:val="nil"/>
              <w:right w:val="nil"/>
            </w:tcBorders>
            <w:shd w:val="clear" w:color="auto" w:fill="auto"/>
            <w:noWrap/>
            <w:vAlign w:val="bottom"/>
            <w:hideMark/>
          </w:tcPr>
          <w:p w14:paraId="573098E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neither disagree or agreeing</w:t>
            </w:r>
          </w:p>
        </w:tc>
        <w:tc>
          <w:tcPr>
            <w:tcW w:w="1180" w:type="dxa"/>
            <w:tcBorders>
              <w:top w:val="nil"/>
              <w:left w:val="nil"/>
              <w:right w:val="nil"/>
            </w:tcBorders>
            <w:shd w:val="clear" w:color="auto" w:fill="auto"/>
            <w:noWrap/>
            <w:vAlign w:val="bottom"/>
            <w:hideMark/>
          </w:tcPr>
          <w:p w14:paraId="7E66577D"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13.8%</w:t>
            </w:r>
          </w:p>
        </w:tc>
        <w:tc>
          <w:tcPr>
            <w:tcW w:w="1233" w:type="dxa"/>
            <w:tcBorders>
              <w:top w:val="nil"/>
              <w:left w:val="nil"/>
              <w:right w:val="nil"/>
            </w:tcBorders>
            <w:shd w:val="clear" w:color="auto" w:fill="auto"/>
            <w:noWrap/>
            <w:vAlign w:val="bottom"/>
            <w:hideMark/>
          </w:tcPr>
          <w:p w14:paraId="37374F7F"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2.8%</w:t>
            </w:r>
          </w:p>
        </w:tc>
        <w:tc>
          <w:tcPr>
            <w:tcW w:w="1179" w:type="dxa"/>
            <w:tcBorders>
              <w:top w:val="nil"/>
              <w:left w:val="nil"/>
              <w:right w:val="nil"/>
            </w:tcBorders>
            <w:shd w:val="clear" w:color="auto" w:fill="auto"/>
            <w:noWrap/>
            <w:vAlign w:val="bottom"/>
            <w:hideMark/>
          </w:tcPr>
          <w:p w14:paraId="5FF182FE"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11.4%</w:t>
            </w:r>
          </w:p>
        </w:tc>
        <w:tc>
          <w:tcPr>
            <w:tcW w:w="1223" w:type="dxa"/>
            <w:tcBorders>
              <w:top w:val="nil"/>
              <w:left w:val="nil"/>
              <w:right w:val="nil"/>
            </w:tcBorders>
            <w:shd w:val="clear" w:color="auto" w:fill="auto"/>
            <w:noWrap/>
            <w:vAlign w:val="bottom"/>
            <w:hideMark/>
          </w:tcPr>
          <w:p w14:paraId="4F3B2B88"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24.4%</w:t>
            </w:r>
          </w:p>
        </w:tc>
        <w:tc>
          <w:tcPr>
            <w:tcW w:w="1223" w:type="dxa"/>
            <w:tcBorders>
              <w:top w:val="nil"/>
              <w:left w:val="nil"/>
              <w:right w:val="nil"/>
            </w:tcBorders>
            <w:shd w:val="clear" w:color="auto" w:fill="auto"/>
            <w:noWrap/>
            <w:vAlign w:val="bottom"/>
            <w:hideMark/>
          </w:tcPr>
          <w:p w14:paraId="2C01D168"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23.0%</w:t>
            </w:r>
          </w:p>
        </w:tc>
        <w:tc>
          <w:tcPr>
            <w:tcW w:w="1178" w:type="dxa"/>
            <w:tcBorders>
              <w:top w:val="nil"/>
              <w:left w:val="nil"/>
              <w:right w:val="nil"/>
            </w:tcBorders>
            <w:shd w:val="clear" w:color="auto" w:fill="auto"/>
            <w:noWrap/>
            <w:vAlign w:val="bottom"/>
            <w:hideMark/>
          </w:tcPr>
          <w:p w14:paraId="5CCB43D1"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58.4%</w:t>
            </w:r>
          </w:p>
        </w:tc>
      </w:tr>
      <w:tr w:rsidR="00810AB7" w:rsidRPr="00810AB7" w14:paraId="00B2D7F0" w14:textId="77777777" w:rsidTr="00734191">
        <w:trPr>
          <w:trHeight w:val="288"/>
          <w:jc w:val="center"/>
        </w:trPr>
        <w:tc>
          <w:tcPr>
            <w:tcW w:w="3456" w:type="dxa"/>
            <w:tcBorders>
              <w:top w:val="nil"/>
              <w:left w:val="nil"/>
              <w:bottom w:val="single" w:sz="4" w:space="0" w:color="auto"/>
              <w:right w:val="nil"/>
            </w:tcBorders>
            <w:shd w:val="clear" w:color="auto" w:fill="auto"/>
            <w:noWrap/>
            <w:vAlign w:val="bottom"/>
            <w:hideMark/>
          </w:tcPr>
          <w:p w14:paraId="7577BEE7"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those agreeing</w:t>
            </w:r>
          </w:p>
        </w:tc>
        <w:tc>
          <w:tcPr>
            <w:tcW w:w="1180" w:type="dxa"/>
            <w:tcBorders>
              <w:top w:val="nil"/>
              <w:left w:val="nil"/>
              <w:bottom w:val="single" w:sz="4" w:space="0" w:color="auto"/>
              <w:right w:val="nil"/>
            </w:tcBorders>
            <w:shd w:val="clear" w:color="auto" w:fill="auto"/>
            <w:noWrap/>
            <w:vAlign w:val="bottom"/>
            <w:hideMark/>
          </w:tcPr>
          <w:p w14:paraId="0DE38F98"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24.3%</w:t>
            </w:r>
          </w:p>
        </w:tc>
        <w:tc>
          <w:tcPr>
            <w:tcW w:w="1233" w:type="dxa"/>
            <w:tcBorders>
              <w:top w:val="nil"/>
              <w:left w:val="nil"/>
              <w:bottom w:val="single" w:sz="4" w:space="0" w:color="auto"/>
              <w:right w:val="nil"/>
            </w:tcBorders>
            <w:shd w:val="clear" w:color="auto" w:fill="auto"/>
            <w:noWrap/>
            <w:vAlign w:val="bottom"/>
            <w:hideMark/>
          </w:tcPr>
          <w:p w14:paraId="6E086E71"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7.1%</w:t>
            </w:r>
          </w:p>
        </w:tc>
        <w:tc>
          <w:tcPr>
            <w:tcW w:w="1179" w:type="dxa"/>
            <w:tcBorders>
              <w:top w:val="nil"/>
              <w:left w:val="nil"/>
              <w:bottom w:val="single" w:sz="4" w:space="0" w:color="auto"/>
              <w:right w:val="nil"/>
            </w:tcBorders>
            <w:shd w:val="clear" w:color="auto" w:fill="auto"/>
            <w:noWrap/>
            <w:vAlign w:val="bottom"/>
            <w:hideMark/>
          </w:tcPr>
          <w:p w14:paraId="5481D60B"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16.5%</w:t>
            </w:r>
          </w:p>
        </w:tc>
        <w:tc>
          <w:tcPr>
            <w:tcW w:w="1223" w:type="dxa"/>
            <w:tcBorders>
              <w:top w:val="nil"/>
              <w:left w:val="nil"/>
              <w:bottom w:val="single" w:sz="4" w:space="0" w:color="auto"/>
              <w:right w:val="nil"/>
            </w:tcBorders>
            <w:shd w:val="clear" w:color="auto" w:fill="auto"/>
            <w:noWrap/>
            <w:vAlign w:val="bottom"/>
            <w:hideMark/>
          </w:tcPr>
          <w:p w14:paraId="13FD3A8B"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34.8%</w:t>
            </w:r>
          </w:p>
        </w:tc>
        <w:tc>
          <w:tcPr>
            <w:tcW w:w="1223" w:type="dxa"/>
            <w:tcBorders>
              <w:top w:val="nil"/>
              <w:left w:val="nil"/>
              <w:bottom w:val="single" w:sz="4" w:space="0" w:color="auto"/>
              <w:right w:val="nil"/>
            </w:tcBorders>
            <w:shd w:val="clear" w:color="auto" w:fill="auto"/>
            <w:noWrap/>
            <w:vAlign w:val="bottom"/>
            <w:hideMark/>
          </w:tcPr>
          <w:p w14:paraId="74BB921A"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24.6%</w:t>
            </w:r>
          </w:p>
        </w:tc>
        <w:tc>
          <w:tcPr>
            <w:tcW w:w="1178" w:type="dxa"/>
            <w:tcBorders>
              <w:top w:val="nil"/>
              <w:left w:val="nil"/>
              <w:bottom w:val="single" w:sz="4" w:space="0" w:color="auto"/>
              <w:right w:val="nil"/>
            </w:tcBorders>
            <w:shd w:val="clear" w:color="auto" w:fill="auto"/>
            <w:noWrap/>
            <w:vAlign w:val="bottom"/>
            <w:hideMark/>
          </w:tcPr>
          <w:p w14:paraId="5AE0E4B5"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50.4%</w:t>
            </w:r>
          </w:p>
        </w:tc>
      </w:tr>
      <w:tr w:rsidR="00810AB7" w:rsidRPr="00810AB7" w14:paraId="734697B1" w14:textId="77777777" w:rsidTr="00734191">
        <w:trPr>
          <w:trHeight w:val="288"/>
          <w:jc w:val="center"/>
        </w:trPr>
        <w:tc>
          <w:tcPr>
            <w:tcW w:w="3456" w:type="dxa"/>
            <w:tcBorders>
              <w:top w:val="single" w:sz="4" w:space="0" w:color="auto"/>
              <w:left w:val="nil"/>
              <w:bottom w:val="nil"/>
              <w:right w:val="nil"/>
            </w:tcBorders>
            <w:shd w:val="clear" w:color="auto" w:fill="auto"/>
            <w:noWrap/>
            <w:vAlign w:val="bottom"/>
            <w:hideMark/>
          </w:tcPr>
          <w:p w14:paraId="6812C00B"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By claims stigma</w:t>
            </w:r>
          </w:p>
        </w:tc>
        <w:tc>
          <w:tcPr>
            <w:tcW w:w="1180" w:type="dxa"/>
            <w:tcBorders>
              <w:top w:val="single" w:sz="4" w:space="0" w:color="auto"/>
              <w:left w:val="nil"/>
              <w:bottom w:val="nil"/>
              <w:right w:val="nil"/>
            </w:tcBorders>
            <w:shd w:val="clear" w:color="auto" w:fill="auto"/>
            <w:noWrap/>
            <w:vAlign w:val="bottom"/>
            <w:hideMark/>
          </w:tcPr>
          <w:p w14:paraId="325E4622" w14:textId="77777777" w:rsidR="00810AB7" w:rsidRPr="00810AB7" w:rsidRDefault="00810AB7" w:rsidP="00810AB7">
            <w:pPr>
              <w:spacing w:line="240" w:lineRule="auto"/>
              <w:jc w:val="right"/>
              <w:rPr>
                <w:rFonts w:ascii="Calibri" w:eastAsia="Times New Roman" w:hAnsi="Calibri" w:cs="Times New Roman"/>
                <w:bCs/>
                <w:szCs w:val="22"/>
                <w:lang w:eastAsia="en-GB"/>
              </w:rPr>
            </w:pPr>
            <w:r w:rsidRPr="00810AB7">
              <w:rPr>
                <w:rFonts w:ascii="Calibri" w:eastAsia="Times New Roman" w:hAnsi="Calibri" w:cs="Arial"/>
                <w:bCs/>
                <w:i/>
                <w:szCs w:val="22"/>
                <w:lang w:eastAsia="en-GB"/>
              </w:rPr>
              <w:t>ns</w:t>
            </w:r>
          </w:p>
        </w:tc>
        <w:tc>
          <w:tcPr>
            <w:tcW w:w="1233" w:type="dxa"/>
            <w:tcBorders>
              <w:top w:val="single" w:sz="4" w:space="0" w:color="auto"/>
              <w:left w:val="nil"/>
              <w:bottom w:val="nil"/>
              <w:right w:val="nil"/>
            </w:tcBorders>
            <w:shd w:val="clear" w:color="auto" w:fill="auto"/>
            <w:noWrap/>
            <w:vAlign w:val="bottom"/>
            <w:hideMark/>
          </w:tcPr>
          <w:p w14:paraId="65B54703"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Arial" w:eastAsia="Times New Roman" w:hAnsi="Arial" w:cs="Arial"/>
                <w:i/>
                <w:sz w:val="20"/>
                <w:szCs w:val="20"/>
                <w:lang w:eastAsia="en-GB"/>
              </w:rPr>
              <w:t>†</w:t>
            </w:r>
          </w:p>
        </w:tc>
        <w:tc>
          <w:tcPr>
            <w:tcW w:w="1179" w:type="dxa"/>
            <w:tcBorders>
              <w:top w:val="single" w:sz="4" w:space="0" w:color="auto"/>
              <w:left w:val="nil"/>
              <w:bottom w:val="nil"/>
              <w:right w:val="nil"/>
            </w:tcBorders>
            <w:shd w:val="clear" w:color="auto" w:fill="auto"/>
            <w:noWrap/>
            <w:vAlign w:val="bottom"/>
            <w:hideMark/>
          </w:tcPr>
          <w:p w14:paraId="767234EC"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c>
          <w:tcPr>
            <w:tcW w:w="1223" w:type="dxa"/>
            <w:tcBorders>
              <w:top w:val="single" w:sz="4" w:space="0" w:color="auto"/>
              <w:left w:val="nil"/>
              <w:bottom w:val="nil"/>
              <w:right w:val="nil"/>
            </w:tcBorders>
            <w:shd w:val="clear" w:color="auto" w:fill="auto"/>
            <w:noWrap/>
            <w:vAlign w:val="bottom"/>
            <w:hideMark/>
          </w:tcPr>
          <w:p w14:paraId="16654516"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c>
          <w:tcPr>
            <w:tcW w:w="1223" w:type="dxa"/>
            <w:tcBorders>
              <w:top w:val="single" w:sz="4" w:space="0" w:color="auto"/>
              <w:left w:val="nil"/>
              <w:bottom w:val="nil"/>
              <w:right w:val="nil"/>
            </w:tcBorders>
            <w:shd w:val="clear" w:color="auto" w:fill="auto"/>
            <w:noWrap/>
            <w:vAlign w:val="bottom"/>
            <w:hideMark/>
          </w:tcPr>
          <w:p w14:paraId="46182081"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c>
          <w:tcPr>
            <w:tcW w:w="1178" w:type="dxa"/>
            <w:tcBorders>
              <w:top w:val="single" w:sz="4" w:space="0" w:color="auto"/>
              <w:left w:val="nil"/>
              <w:bottom w:val="nil"/>
              <w:right w:val="nil"/>
            </w:tcBorders>
            <w:shd w:val="clear" w:color="auto" w:fill="auto"/>
            <w:noWrap/>
            <w:vAlign w:val="bottom"/>
            <w:hideMark/>
          </w:tcPr>
          <w:p w14:paraId="26A3C197" w14:textId="77777777" w:rsidR="00810AB7" w:rsidRPr="00810AB7" w:rsidRDefault="00810AB7" w:rsidP="00810AB7">
            <w:pPr>
              <w:spacing w:line="240" w:lineRule="auto"/>
              <w:jc w:val="right"/>
              <w:rPr>
                <w:rFonts w:ascii="Times New Roman" w:eastAsia="Times New Roman" w:hAnsi="Times New Roman" w:cs="Times New Roman"/>
                <w:sz w:val="20"/>
                <w:szCs w:val="20"/>
                <w:lang w:eastAsia="en-GB"/>
              </w:rPr>
            </w:pPr>
            <w:r w:rsidRPr="00810AB7">
              <w:rPr>
                <w:rFonts w:ascii="Calibri" w:eastAsia="Times New Roman" w:hAnsi="Calibri" w:cs="Arial"/>
                <w:i/>
                <w:sz w:val="20"/>
                <w:szCs w:val="20"/>
                <w:lang w:eastAsia="en-GB"/>
              </w:rPr>
              <w:t>**</w:t>
            </w:r>
          </w:p>
        </w:tc>
      </w:tr>
      <w:tr w:rsidR="00810AB7" w:rsidRPr="00810AB7" w14:paraId="10B69E5B" w14:textId="77777777" w:rsidTr="00734191">
        <w:trPr>
          <w:trHeight w:val="288"/>
          <w:jc w:val="center"/>
        </w:trPr>
        <w:tc>
          <w:tcPr>
            <w:tcW w:w="3456" w:type="dxa"/>
            <w:tcBorders>
              <w:top w:val="nil"/>
              <w:left w:val="nil"/>
              <w:bottom w:val="nil"/>
              <w:right w:val="nil"/>
            </w:tcBorders>
            <w:shd w:val="clear" w:color="auto" w:fill="auto"/>
            <w:noWrap/>
            <w:vAlign w:val="bottom"/>
            <w:hideMark/>
          </w:tcPr>
          <w:p w14:paraId="76365955"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those disagreeing</w:t>
            </w:r>
          </w:p>
        </w:tc>
        <w:tc>
          <w:tcPr>
            <w:tcW w:w="1180" w:type="dxa"/>
            <w:tcBorders>
              <w:top w:val="nil"/>
              <w:left w:val="nil"/>
              <w:bottom w:val="nil"/>
              <w:right w:val="nil"/>
            </w:tcBorders>
            <w:shd w:val="clear" w:color="auto" w:fill="auto"/>
            <w:noWrap/>
            <w:vAlign w:val="bottom"/>
            <w:hideMark/>
          </w:tcPr>
          <w:p w14:paraId="1E0E11A2"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16.0%</w:t>
            </w:r>
          </w:p>
        </w:tc>
        <w:tc>
          <w:tcPr>
            <w:tcW w:w="1233" w:type="dxa"/>
            <w:tcBorders>
              <w:top w:val="nil"/>
              <w:left w:val="nil"/>
              <w:bottom w:val="nil"/>
              <w:right w:val="nil"/>
            </w:tcBorders>
            <w:shd w:val="clear" w:color="auto" w:fill="auto"/>
            <w:noWrap/>
            <w:vAlign w:val="bottom"/>
            <w:hideMark/>
          </w:tcPr>
          <w:p w14:paraId="1CC74227"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2.5%</w:t>
            </w:r>
          </w:p>
        </w:tc>
        <w:tc>
          <w:tcPr>
            <w:tcW w:w="1179" w:type="dxa"/>
            <w:tcBorders>
              <w:top w:val="nil"/>
              <w:left w:val="nil"/>
              <w:bottom w:val="nil"/>
              <w:right w:val="nil"/>
            </w:tcBorders>
            <w:shd w:val="clear" w:color="auto" w:fill="auto"/>
            <w:noWrap/>
            <w:vAlign w:val="bottom"/>
            <w:hideMark/>
          </w:tcPr>
          <w:p w14:paraId="2341A4E4"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6.8%</w:t>
            </w:r>
          </w:p>
        </w:tc>
        <w:tc>
          <w:tcPr>
            <w:tcW w:w="1223" w:type="dxa"/>
            <w:tcBorders>
              <w:top w:val="nil"/>
              <w:left w:val="nil"/>
              <w:bottom w:val="nil"/>
              <w:right w:val="nil"/>
            </w:tcBorders>
            <w:shd w:val="clear" w:color="auto" w:fill="auto"/>
            <w:noWrap/>
            <w:vAlign w:val="bottom"/>
            <w:hideMark/>
          </w:tcPr>
          <w:p w14:paraId="285F86B0"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21.0%</w:t>
            </w:r>
          </w:p>
        </w:tc>
        <w:tc>
          <w:tcPr>
            <w:tcW w:w="1223" w:type="dxa"/>
            <w:tcBorders>
              <w:top w:val="nil"/>
              <w:left w:val="nil"/>
              <w:bottom w:val="nil"/>
              <w:right w:val="nil"/>
            </w:tcBorders>
            <w:shd w:val="clear" w:color="auto" w:fill="auto"/>
            <w:noWrap/>
            <w:vAlign w:val="bottom"/>
            <w:hideMark/>
          </w:tcPr>
          <w:p w14:paraId="73BEC8D4"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19.8%</w:t>
            </w:r>
          </w:p>
        </w:tc>
        <w:tc>
          <w:tcPr>
            <w:tcW w:w="1178" w:type="dxa"/>
            <w:tcBorders>
              <w:top w:val="nil"/>
              <w:left w:val="nil"/>
              <w:bottom w:val="nil"/>
              <w:right w:val="nil"/>
            </w:tcBorders>
            <w:shd w:val="clear" w:color="auto" w:fill="auto"/>
            <w:noWrap/>
            <w:vAlign w:val="bottom"/>
            <w:hideMark/>
          </w:tcPr>
          <w:p w14:paraId="792B6460"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63.4%</w:t>
            </w:r>
          </w:p>
        </w:tc>
      </w:tr>
      <w:tr w:rsidR="00810AB7" w:rsidRPr="00810AB7" w14:paraId="10B03BB8" w14:textId="77777777" w:rsidTr="00734191">
        <w:trPr>
          <w:trHeight w:val="300"/>
          <w:jc w:val="center"/>
        </w:trPr>
        <w:tc>
          <w:tcPr>
            <w:tcW w:w="3456" w:type="dxa"/>
            <w:tcBorders>
              <w:top w:val="nil"/>
              <w:left w:val="nil"/>
              <w:right w:val="nil"/>
            </w:tcBorders>
            <w:shd w:val="clear" w:color="auto" w:fill="auto"/>
            <w:noWrap/>
            <w:vAlign w:val="bottom"/>
            <w:hideMark/>
          </w:tcPr>
          <w:p w14:paraId="48E5B6B1"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neither disagree or agreeing</w:t>
            </w:r>
          </w:p>
        </w:tc>
        <w:tc>
          <w:tcPr>
            <w:tcW w:w="1180" w:type="dxa"/>
            <w:tcBorders>
              <w:top w:val="nil"/>
              <w:left w:val="nil"/>
              <w:right w:val="nil"/>
            </w:tcBorders>
            <w:shd w:val="clear" w:color="auto" w:fill="auto"/>
            <w:noWrap/>
            <w:vAlign w:val="bottom"/>
            <w:hideMark/>
          </w:tcPr>
          <w:p w14:paraId="2F9E6F88"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17.7%</w:t>
            </w:r>
          </w:p>
        </w:tc>
        <w:tc>
          <w:tcPr>
            <w:tcW w:w="1233" w:type="dxa"/>
            <w:tcBorders>
              <w:top w:val="nil"/>
              <w:left w:val="nil"/>
              <w:right w:val="nil"/>
            </w:tcBorders>
            <w:shd w:val="clear" w:color="auto" w:fill="auto"/>
            <w:noWrap/>
            <w:vAlign w:val="bottom"/>
            <w:hideMark/>
          </w:tcPr>
          <w:p w14:paraId="6C2975F7"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5.1%</w:t>
            </w:r>
          </w:p>
        </w:tc>
        <w:tc>
          <w:tcPr>
            <w:tcW w:w="1179" w:type="dxa"/>
            <w:tcBorders>
              <w:top w:val="nil"/>
              <w:left w:val="nil"/>
              <w:right w:val="nil"/>
            </w:tcBorders>
            <w:shd w:val="clear" w:color="auto" w:fill="auto"/>
            <w:noWrap/>
            <w:vAlign w:val="bottom"/>
            <w:hideMark/>
          </w:tcPr>
          <w:p w14:paraId="0D9F8277"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12.8%</w:t>
            </w:r>
          </w:p>
        </w:tc>
        <w:tc>
          <w:tcPr>
            <w:tcW w:w="1223" w:type="dxa"/>
            <w:tcBorders>
              <w:top w:val="nil"/>
              <w:left w:val="nil"/>
              <w:right w:val="nil"/>
            </w:tcBorders>
            <w:shd w:val="clear" w:color="auto" w:fill="auto"/>
            <w:noWrap/>
            <w:vAlign w:val="bottom"/>
            <w:hideMark/>
          </w:tcPr>
          <w:p w14:paraId="3B5CBAC4"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28.6%</w:t>
            </w:r>
          </w:p>
        </w:tc>
        <w:tc>
          <w:tcPr>
            <w:tcW w:w="1223" w:type="dxa"/>
            <w:tcBorders>
              <w:top w:val="nil"/>
              <w:left w:val="nil"/>
              <w:right w:val="nil"/>
            </w:tcBorders>
            <w:shd w:val="clear" w:color="auto" w:fill="auto"/>
            <w:noWrap/>
            <w:vAlign w:val="bottom"/>
            <w:hideMark/>
          </w:tcPr>
          <w:p w14:paraId="6F75B922"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22.5%</w:t>
            </w:r>
          </w:p>
        </w:tc>
        <w:tc>
          <w:tcPr>
            <w:tcW w:w="1178" w:type="dxa"/>
            <w:tcBorders>
              <w:top w:val="nil"/>
              <w:left w:val="nil"/>
              <w:right w:val="nil"/>
            </w:tcBorders>
            <w:shd w:val="clear" w:color="auto" w:fill="auto"/>
            <w:noWrap/>
            <w:vAlign w:val="bottom"/>
            <w:hideMark/>
          </w:tcPr>
          <w:p w14:paraId="124C3594"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56.3%</w:t>
            </w:r>
          </w:p>
        </w:tc>
      </w:tr>
      <w:tr w:rsidR="00810AB7" w:rsidRPr="00810AB7" w14:paraId="4EA3D0AD" w14:textId="77777777" w:rsidTr="00734191">
        <w:trPr>
          <w:trHeight w:val="288"/>
          <w:jc w:val="center"/>
        </w:trPr>
        <w:tc>
          <w:tcPr>
            <w:tcW w:w="3456" w:type="dxa"/>
            <w:tcBorders>
              <w:top w:val="nil"/>
              <w:left w:val="nil"/>
              <w:bottom w:val="single" w:sz="4" w:space="0" w:color="auto"/>
              <w:right w:val="nil"/>
            </w:tcBorders>
            <w:shd w:val="clear" w:color="auto" w:fill="auto"/>
            <w:noWrap/>
            <w:vAlign w:val="bottom"/>
            <w:hideMark/>
          </w:tcPr>
          <w:p w14:paraId="53EFCA39"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Among those agreeing</w:t>
            </w:r>
          </w:p>
        </w:tc>
        <w:tc>
          <w:tcPr>
            <w:tcW w:w="1180" w:type="dxa"/>
            <w:tcBorders>
              <w:top w:val="nil"/>
              <w:left w:val="nil"/>
              <w:bottom w:val="single" w:sz="4" w:space="0" w:color="auto"/>
              <w:right w:val="nil"/>
            </w:tcBorders>
            <w:shd w:val="clear" w:color="auto" w:fill="auto"/>
            <w:noWrap/>
            <w:vAlign w:val="bottom"/>
            <w:hideMark/>
          </w:tcPr>
          <w:p w14:paraId="312DD861"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17.4%</w:t>
            </w:r>
          </w:p>
        </w:tc>
        <w:tc>
          <w:tcPr>
            <w:tcW w:w="1233" w:type="dxa"/>
            <w:tcBorders>
              <w:top w:val="nil"/>
              <w:left w:val="nil"/>
              <w:bottom w:val="single" w:sz="4" w:space="0" w:color="auto"/>
              <w:right w:val="nil"/>
            </w:tcBorders>
            <w:shd w:val="clear" w:color="auto" w:fill="auto"/>
            <w:noWrap/>
            <w:vAlign w:val="bottom"/>
            <w:hideMark/>
          </w:tcPr>
          <w:p w14:paraId="46D2DBC0"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4.6%</w:t>
            </w:r>
          </w:p>
        </w:tc>
        <w:tc>
          <w:tcPr>
            <w:tcW w:w="1179" w:type="dxa"/>
            <w:tcBorders>
              <w:top w:val="nil"/>
              <w:left w:val="nil"/>
              <w:bottom w:val="single" w:sz="4" w:space="0" w:color="auto"/>
              <w:right w:val="nil"/>
            </w:tcBorders>
            <w:shd w:val="clear" w:color="auto" w:fill="auto"/>
            <w:noWrap/>
            <w:vAlign w:val="bottom"/>
            <w:hideMark/>
          </w:tcPr>
          <w:p w14:paraId="22453EC7"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15.3%</w:t>
            </w:r>
          </w:p>
        </w:tc>
        <w:tc>
          <w:tcPr>
            <w:tcW w:w="1223" w:type="dxa"/>
            <w:tcBorders>
              <w:top w:val="nil"/>
              <w:left w:val="nil"/>
              <w:bottom w:val="single" w:sz="4" w:space="0" w:color="auto"/>
              <w:right w:val="nil"/>
            </w:tcBorders>
            <w:shd w:val="clear" w:color="auto" w:fill="auto"/>
            <w:noWrap/>
            <w:vAlign w:val="bottom"/>
            <w:hideMark/>
          </w:tcPr>
          <w:p w14:paraId="55860C98"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28.5%</w:t>
            </w:r>
          </w:p>
        </w:tc>
        <w:tc>
          <w:tcPr>
            <w:tcW w:w="1223" w:type="dxa"/>
            <w:tcBorders>
              <w:top w:val="nil"/>
              <w:left w:val="nil"/>
              <w:bottom w:val="single" w:sz="4" w:space="0" w:color="auto"/>
              <w:right w:val="nil"/>
            </w:tcBorders>
            <w:shd w:val="clear" w:color="auto" w:fill="auto"/>
            <w:noWrap/>
            <w:vAlign w:val="bottom"/>
            <w:hideMark/>
          </w:tcPr>
          <w:p w14:paraId="129DF4D2"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27.0%</w:t>
            </w:r>
          </w:p>
        </w:tc>
        <w:tc>
          <w:tcPr>
            <w:tcW w:w="1178" w:type="dxa"/>
            <w:tcBorders>
              <w:top w:val="nil"/>
              <w:left w:val="nil"/>
              <w:bottom w:val="single" w:sz="4" w:space="0" w:color="auto"/>
              <w:right w:val="nil"/>
            </w:tcBorders>
            <w:shd w:val="clear" w:color="auto" w:fill="auto"/>
            <w:noWrap/>
            <w:vAlign w:val="bottom"/>
            <w:hideMark/>
          </w:tcPr>
          <w:p w14:paraId="50C5C859" w14:textId="77777777" w:rsidR="00810AB7" w:rsidRPr="00810AB7" w:rsidRDefault="00810AB7" w:rsidP="00810AB7">
            <w:pPr>
              <w:spacing w:line="240" w:lineRule="auto"/>
              <w:jc w:val="right"/>
              <w:rPr>
                <w:rFonts w:ascii="Calibri" w:eastAsia="Times New Roman" w:hAnsi="Calibri" w:cs="Times New Roman"/>
                <w:szCs w:val="22"/>
                <w:lang w:eastAsia="en-GB"/>
              </w:rPr>
            </w:pPr>
            <w:r w:rsidRPr="00810AB7">
              <w:rPr>
                <w:rFonts w:ascii="Calibri" w:eastAsia="Times New Roman" w:hAnsi="Calibri" w:cs="Times New Roman"/>
                <w:szCs w:val="22"/>
                <w:lang w:eastAsia="en-GB"/>
              </w:rPr>
              <w:t>53.5%</w:t>
            </w:r>
          </w:p>
        </w:tc>
      </w:tr>
    </w:tbl>
    <w:p w14:paraId="7D896E96" w14:textId="77777777" w:rsidR="00810AB7" w:rsidRPr="00810AB7" w:rsidRDefault="00810AB7" w:rsidP="00810AB7">
      <w:pPr>
        <w:spacing w:before="60" w:after="240" w:line="240" w:lineRule="auto"/>
        <w:ind w:left="1843" w:right="1767"/>
        <w:rPr>
          <w:rFonts w:ascii="Calibri" w:eastAsia="Calibri" w:hAnsi="Calibri" w:cs="Times New Roman"/>
          <w:i/>
          <w:sz w:val="20"/>
        </w:rPr>
        <w:sectPr w:rsidR="00810AB7" w:rsidRPr="00810AB7" w:rsidSect="00DE48D1">
          <w:pgSz w:w="16838" w:h="11906" w:orient="landscape"/>
          <w:pgMar w:top="1440" w:right="1440" w:bottom="1440" w:left="1440" w:header="708" w:footer="708" w:gutter="0"/>
          <w:cols w:space="708"/>
          <w:docGrid w:linePitch="360"/>
        </w:sectPr>
      </w:pPr>
      <w:r w:rsidRPr="00810AB7">
        <w:rPr>
          <w:rFonts w:ascii="Calibri" w:eastAsia="Calibri" w:hAnsi="Calibri" w:cs="Times New Roman"/>
          <w:i/>
          <w:sz w:val="20"/>
        </w:rPr>
        <w:t>Source: Ipsos MORI benefits stigma survey 2012. Significance (for joint significance of differences between all three categories): † p&lt;0.10, * p&lt;0.05, ** p&lt;0.01.</w:t>
      </w:r>
    </w:p>
    <w:p w14:paraId="1C64665B" w14:textId="77777777" w:rsidR="00810AB7" w:rsidRPr="00810AB7" w:rsidRDefault="00810AB7" w:rsidP="00810AB7">
      <w:pPr>
        <w:keepNext/>
        <w:spacing w:before="240" w:after="120" w:line="240" w:lineRule="auto"/>
        <w:jc w:val="center"/>
        <w:rPr>
          <w:rFonts w:ascii="Calibri" w:eastAsia="Calibri" w:hAnsi="Calibri" w:cs="Times New Roman"/>
          <w:b/>
          <w:i/>
          <w:iCs/>
          <w:szCs w:val="18"/>
        </w:rPr>
      </w:pPr>
      <w:r w:rsidRPr="00810AB7">
        <w:rPr>
          <w:rFonts w:ascii="Calibri" w:eastAsia="Calibri" w:hAnsi="Calibri" w:cs="Times New Roman"/>
          <w:b/>
          <w:i/>
          <w:iCs/>
          <w:szCs w:val="18"/>
        </w:rPr>
        <w:lastRenderedPageBreak/>
        <w:t xml:space="preserve">Table </w:t>
      </w:r>
      <w:r w:rsidRPr="00810AB7">
        <w:rPr>
          <w:rFonts w:ascii="Calibri" w:eastAsia="Calibri" w:hAnsi="Calibri" w:cs="Times New Roman"/>
          <w:b/>
          <w:i/>
          <w:iCs/>
          <w:szCs w:val="18"/>
        </w:rPr>
        <w:fldChar w:fldCharType="begin"/>
      </w:r>
      <w:r w:rsidRPr="00810AB7">
        <w:rPr>
          <w:rFonts w:ascii="Calibri" w:eastAsia="Calibri" w:hAnsi="Calibri" w:cs="Times New Roman"/>
          <w:b/>
          <w:i/>
          <w:iCs/>
          <w:szCs w:val="18"/>
        </w:rPr>
        <w:instrText xml:space="preserve"> SEQ Table \* ARABIC </w:instrText>
      </w:r>
      <w:r w:rsidRPr="00810AB7">
        <w:rPr>
          <w:rFonts w:ascii="Calibri" w:eastAsia="Calibri" w:hAnsi="Calibri" w:cs="Times New Roman"/>
          <w:b/>
          <w:i/>
          <w:iCs/>
          <w:szCs w:val="18"/>
        </w:rPr>
        <w:fldChar w:fldCharType="separate"/>
      </w:r>
      <w:r w:rsidRPr="00810AB7">
        <w:rPr>
          <w:rFonts w:ascii="Calibri" w:eastAsia="Calibri" w:hAnsi="Calibri" w:cs="Times New Roman"/>
          <w:b/>
          <w:i/>
          <w:iCs/>
          <w:noProof/>
          <w:szCs w:val="18"/>
        </w:rPr>
        <w:t>4</w:t>
      </w:r>
      <w:r w:rsidRPr="00810AB7">
        <w:rPr>
          <w:rFonts w:ascii="Calibri" w:eastAsia="Calibri" w:hAnsi="Calibri" w:cs="Times New Roman"/>
          <w:b/>
          <w:i/>
          <w:iCs/>
          <w:noProof/>
          <w:szCs w:val="18"/>
        </w:rPr>
        <w:fldChar w:fldCharType="end"/>
      </w:r>
      <w:bookmarkEnd w:id="3"/>
      <w:r w:rsidRPr="00810AB7">
        <w:rPr>
          <w:rFonts w:ascii="Calibri" w:eastAsia="Calibri" w:hAnsi="Calibri" w:cs="Times New Roman"/>
          <w:b/>
          <w:i/>
          <w:iCs/>
          <w:szCs w:val="18"/>
        </w:rPr>
        <w:t>: Socio-demographic patterning of reported stigma</w:t>
      </w:r>
    </w:p>
    <w:tbl>
      <w:tblPr>
        <w:tblW w:w="9691" w:type="dxa"/>
        <w:tblLook w:val="04A0" w:firstRow="1" w:lastRow="0" w:firstColumn="1" w:lastColumn="0" w:noHBand="0" w:noVBand="1"/>
      </w:tblPr>
      <w:tblGrid>
        <w:gridCol w:w="3793"/>
        <w:gridCol w:w="960"/>
        <w:gridCol w:w="990"/>
        <w:gridCol w:w="960"/>
        <w:gridCol w:w="1098"/>
        <w:gridCol w:w="969"/>
        <w:gridCol w:w="960"/>
      </w:tblGrid>
      <w:tr w:rsidR="00810AB7" w:rsidRPr="00810AB7" w14:paraId="60E35738" w14:textId="77777777" w:rsidTr="00734191">
        <w:trPr>
          <w:trHeight w:val="288"/>
        </w:trPr>
        <w:tc>
          <w:tcPr>
            <w:tcW w:w="3793" w:type="dxa"/>
            <w:tcBorders>
              <w:top w:val="single" w:sz="4" w:space="0" w:color="auto"/>
            </w:tcBorders>
            <w:shd w:val="clear" w:color="auto" w:fill="auto"/>
            <w:noWrap/>
            <w:vAlign w:val="bottom"/>
            <w:hideMark/>
          </w:tcPr>
          <w:p w14:paraId="52B7804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960" w:type="dxa"/>
            <w:vMerge w:val="restart"/>
            <w:tcBorders>
              <w:top w:val="single" w:sz="4" w:space="0" w:color="auto"/>
            </w:tcBorders>
            <w:shd w:val="clear" w:color="auto" w:fill="auto"/>
            <w:vAlign w:val="center"/>
            <w:hideMark/>
          </w:tcPr>
          <w:p w14:paraId="64C03D97" w14:textId="77777777" w:rsidR="00810AB7" w:rsidRPr="00810AB7" w:rsidRDefault="00810AB7" w:rsidP="00810AB7">
            <w:pPr>
              <w:spacing w:line="240" w:lineRule="auto"/>
              <w:jc w:val="center"/>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 xml:space="preserve">All </w:t>
            </w:r>
            <w:r w:rsidRPr="00810AB7">
              <w:rPr>
                <w:rFonts w:ascii="Calibri" w:eastAsia="Times New Roman" w:hAnsi="Calibri" w:cs="Times New Roman"/>
                <w:b/>
                <w:bCs/>
                <w:szCs w:val="22"/>
                <w:lang w:eastAsia="en-GB"/>
              </w:rPr>
              <w:br/>
              <w:t>stigma/</w:t>
            </w:r>
          </w:p>
          <w:p w14:paraId="3E07ACFC" w14:textId="77777777" w:rsidR="00810AB7" w:rsidRPr="00810AB7" w:rsidRDefault="00810AB7" w:rsidP="00810AB7">
            <w:pPr>
              <w:spacing w:line="240" w:lineRule="auto"/>
              <w:jc w:val="center"/>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shame</w:t>
            </w:r>
          </w:p>
        </w:tc>
        <w:tc>
          <w:tcPr>
            <w:tcW w:w="1920" w:type="dxa"/>
            <w:gridSpan w:val="2"/>
            <w:tcBorders>
              <w:top w:val="single" w:sz="4" w:space="0" w:color="auto"/>
            </w:tcBorders>
            <w:shd w:val="clear" w:color="auto" w:fill="auto"/>
            <w:noWrap/>
            <w:vAlign w:val="bottom"/>
            <w:hideMark/>
          </w:tcPr>
          <w:p w14:paraId="4784254D" w14:textId="77777777" w:rsidR="00810AB7" w:rsidRPr="00810AB7" w:rsidRDefault="00810AB7" w:rsidP="00810AB7">
            <w:pPr>
              <w:spacing w:line="240" w:lineRule="auto"/>
              <w:jc w:val="center"/>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 xml:space="preserve">Stigma </w:t>
            </w:r>
            <w:r w:rsidRPr="00810AB7">
              <w:rPr>
                <w:rFonts w:ascii="Calibri" w:eastAsia="Times New Roman" w:hAnsi="Calibri" w:cs="Times New Roman"/>
                <w:b/>
                <w:bCs/>
                <w:i/>
                <w:iCs/>
                <w:szCs w:val="22"/>
                <w:lang w:eastAsia="en-GB"/>
              </w:rPr>
              <w:t>per se</w:t>
            </w:r>
          </w:p>
        </w:tc>
        <w:tc>
          <w:tcPr>
            <w:tcW w:w="3018" w:type="dxa"/>
            <w:gridSpan w:val="3"/>
            <w:tcBorders>
              <w:top w:val="single" w:sz="4" w:space="0" w:color="auto"/>
            </w:tcBorders>
            <w:shd w:val="clear" w:color="auto" w:fill="auto"/>
            <w:noWrap/>
            <w:vAlign w:val="bottom"/>
            <w:hideMark/>
          </w:tcPr>
          <w:p w14:paraId="3397C813" w14:textId="77777777" w:rsidR="00810AB7" w:rsidRPr="00810AB7" w:rsidRDefault="00810AB7" w:rsidP="00810AB7">
            <w:pPr>
              <w:spacing w:line="240" w:lineRule="auto"/>
              <w:jc w:val="center"/>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Reason for non-take-up</w:t>
            </w:r>
          </w:p>
        </w:tc>
      </w:tr>
      <w:tr w:rsidR="00810AB7" w:rsidRPr="00810AB7" w14:paraId="53F69549" w14:textId="77777777" w:rsidTr="00734191">
        <w:trPr>
          <w:trHeight w:val="552"/>
        </w:trPr>
        <w:tc>
          <w:tcPr>
            <w:tcW w:w="3793" w:type="dxa"/>
            <w:tcBorders>
              <w:bottom w:val="single" w:sz="4" w:space="0" w:color="auto"/>
            </w:tcBorders>
            <w:shd w:val="clear" w:color="auto" w:fill="auto"/>
            <w:noWrap/>
            <w:vAlign w:val="bottom"/>
            <w:hideMark/>
          </w:tcPr>
          <w:p w14:paraId="0C95E2C7"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960" w:type="dxa"/>
            <w:vMerge/>
            <w:tcBorders>
              <w:bottom w:val="single" w:sz="4" w:space="0" w:color="auto"/>
            </w:tcBorders>
            <w:vAlign w:val="center"/>
            <w:hideMark/>
          </w:tcPr>
          <w:p w14:paraId="6D29A131" w14:textId="77777777" w:rsidR="00810AB7" w:rsidRPr="00810AB7" w:rsidRDefault="00810AB7" w:rsidP="00810AB7">
            <w:pPr>
              <w:spacing w:line="240" w:lineRule="auto"/>
              <w:rPr>
                <w:rFonts w:ascii="Calibri" w:eastAsia="Times New Roman" w:hAnsi="Calibri" w:cs="Times New Roman"/>
                <w:b/>
                <w:bCs/>
                <w:szCs w:val="22"/>
                <w:lang w:eastAsia="en-GB"/>
              </w:rPr>
            </w:pPr>
          </w:p>
        </w:tc>
        <w:tc>
          <w:tcPr>
            <w:tcW w:w="960" w:type="dxa"/>
            <w:tcBorders>
              <w:bottom w:val="single" w:sz="4" w:space="0" w:color="auto"/>
            </w:tcBorders>
            <w:shd w:val="clear" w:color="auto" w:fill="auto"/>
            <w:vAlign w:val="bottom"/>
            <w:hideMark/>
          </w:tcPr>
          <w:p w14:paraId="7119B7C7"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Personal </w:t>
            </w:r>
            <w:r w:rsidRPr="00810AB7">
              <w:rPr>
                <w:rFonts w:ascii="Calibri" w:eastAsia="Times New Roman" w:hAnsi="Calibri" w:cs="Times New Roman"/>
                <w:szCs w:val="22"/>
                <w:lang w:eastAsia="en-GB"/>
              </w:rPr>
              <w:br/>
              <w:t>stigma</w:t>
            </w:r>
          </w:p>
        </w:tc>
        <w:tc>
          <w:tcPr>
            <w:tcW w:w="960" w:type="dxa"/>
            <w:tcBorders>
              <w:bottom w:val="single" w:sz="4" w:space="0" w:color="auto"/>
            </w:tcBorders>
            <w:shd w:val="clear" w:color="auto" w:fill="auto"/>
            <w:vAlign w:val="bottom"/>
            <w:hideMark/>
          </w:tcPr>
          <w:p w14:paraId="02AC4B8D"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Stigma-tisation</w:t>
            </w:r>
          </w:p>
        </w:tc>
        <w:tc>
          <w:tcPr>
            <w:tcW w:w="1098" w:type="dxa"/>
            <w:tcBorders>
              <w:bottom w:val="single" w:sz="4" w:space="0" w:color="auto"/>
            </w:tcBorders>
            <w:shd w:val="clear" w:color="auto" w:fill="auto"/>
            <w:vAlign w:val="bottom"/>
            <w:hideMark/>
          </w:tcPr>
          <w:p w14:paraId="26DB163F"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Personal</w:t>
            </w:r>
            <w:r w:rsidRPr="00810AB7">
              <w:rPr>
                <w:rFonts w:ascii="Calibri" w:eastAsia="Times New Roman" w:hAnsi="Calibri" w:cs="Times New Roman"/>
                <w:szCs w:val="22"/>
                <w:lang w:eastAsia="en-GB"/>
              </w:rPr>
              <w:br/>
              <w:t>shame</w:t>
            </w:r>
          </w:p>
        </w:tc>
        <w:tc>
          <w:tcPr>
            <w:tcW w:w="960" w:type="dxa"/>
            <w:tcBorders>
              <w:bottom w:val="single" w:sz="4" w:space="0" w:color="auto"/>
            </w:tcBorders>
            <w:shd w:val="clear" w:color="auto" w:fill="auto"/>
            <w:vAlign w:val="bottom"/>
            <w:hideMark/>
          </w:tcPr>
          <w:p w14:paraId="3DF1474E"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Social shaming</w:t>
            </w:r>
          </w:p>
        </w:tc>
        <w:tc>
          <w:tcPr>
            <w:tcW w:w="960" w:type="dxa"/>
            <w:tcBorders>
              <w:bottom w:val="single" w:sz="4" w:space="0" w:color="auto"/>
            </w:tcBorders>
            <w:shd w:val="clear" w:color="auto" w:fill="auto"/>
            <w:vAlign w:val="bottom"/>
            <w:hideMark/>
          </w:tcPr>
          <w:p w14:paraId="6C4952B3" w14:textId="77777777" w:rsidR="00810AB7" w:rsidRPr="00810AB7" w:rsidRDefault="00810AB7" w:rsidP="00810AB7">
            <w:pPr>
              <w:spacing w:line="240" w:lineRule="auto"/>
              <w:jc w:val="center"/>
              <w:rPr>
                <w:rFonts w:ascii="Calibri" w:eastAsia="Times New Roman" w:hAnsi="Calibri" w:cs="Times New Roman"/>
                <w:szCs w:val="22"/>
                <w:lang w:eastAsia="en-GB"/>
              </w:rPr>
            </w:pPr>
            <w:r w:rsidRPr="00810AB7">
              <w:rPr>
                <w:rFonts w:ascii="Calibri" w:eastAsia="Times New Roman" w:hAnsi="Calibri" w:cs="Times New Roman"/>
                <w:szCs w:val="22"/>
                <w:lang w:eastAsia="en-GB"/>
              </w:rPr>
              <w:t>Any shame</w:t>
            </w:r>
          </w:p>
        </w:tc>
      </w:tr>
      <w:tr w:rsidR="00810AB7" w:rsidRPr="00810AB7" w14:paraId="422F5EC6" w14:textId="77777777" w:rsidTr="00734191">
        <w:trPr>
          <w:trHeight w:val="288"/>
        </w:trPr>
        <w:tc>
          <w:tcPr>
            <w:tcW w:w="3793" w:type="dxa"/>
            <w:tcBorders>
              <w:top w:val="single" w:sz="4" w:space="0" w:color="auto"/>
              <w:bottom w:val="nil"/>
            </w:tcBorders>
            <w:shd w:val="clear" w:color="auto" w:fill="auto"/>
            <w:noWrap/>
            <w:vAlign w:val="bottom"/>
            <w:hideMark/>
          </w:tcPr>
          <w:p w14:paraId="35C9FFE4"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 xml:space="preserve">Neighbourhood claim rate </w:t>
            </w:r>
            <w:r w:rsidRPr="00810AB7">
              <w:rPr>
                <w:rFonts w:ascii="Calibri" w:eastAsia="Times New Roman" w:hAnsi="Calibri" w:cs="Times New Roman"/>
                <w:b/>
                <w:bCs/>
                <w:szCs w:val="22"/>
                <w:vertAlign w:val="superscript"/>
                <w:lang w:eastAsia="en-GB"/>
              </w:rPr>
              <w:t>[1]</w:t>
            </w:r>
          </w:p>
        </w:tc>
        <w:tc>
          <w:tcPr>
            <w:tcW w:w="960" w:type="dxa"/>
            <w:tcBorders>
              <w:top w:val="single" w:sz="4" w:space="0" w:color="auto"/>
              <w:bottom w:val="nil"/>
            </w:tcBorders>
            <w:shd w:val="clear" w:color="auto" w:fill="auto"/>
            <w:noWrap/>
            <w:vAlign w:val="bottom"/>
            <w:hideMark/>
          </w:tcPr>
          <w:p w14:paraId="216A96A9"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960" w:type="dxa"/>
            <w:tcBorders>
              <w:top w:val="single" w:sz="4" w:space="0" w:color="auto"/>
              <w:bottom w:val="nil"/>
            </w:tcBorders>
            <w:shd w:val="clear" w:color="auto" w:fill="auto"/>
            <w:noWrap/>
            <w:vAlign w:val="bottom"/>
            <w:hideMark/>
          </w:tcPr>
          <w:p w14:paraId="11229A27" w14:textId="77777777" w:rsidR="00810AB7" w:rsidRPr="00810AB7" w:rsidRDefault="00810AB7" w:rsidP="00810AB7">
            <w:pPr>
              <w:spacing w:line="240" w:lineRule="auto"/>
              <w:rPr>
                <w:rFonts w:ascii="Calibri" w:eastAsia="Times New Roman" w:hAnsi="Calibri" w:cs="Times New Roman"/>
                <w:szCs w:val="22"/>
                <w:lang w:eastAsia="en-GB"/>
              </w:rPr>
            </w:pPr>
          </w:p>
        </w:tc>
        <w:tc>
          <w:tcPr>
            <w:tcW w:w="960" w:type="dxa"/>
            <w:tcBorders>
              <w:top w:val="single" w:sz="4" w:space="0" w:color="auto"/>
              <w:bottom w:val="nil"/>
            </w:tcBorders>
            <w:shd w:val="clear" w:color="auto" w:fill="auto"/>
            <w:noWrap/>
            <w:vAlign w:val="bottom"/>
            <w:hideMark/>
          </w:tcPr>
          <w:p w14:paraId="77808BF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1098" w:type="dxa"/>
            <w:tcBorders>
              <w:top w:val="single" w:sz="4" w:space="0" w:color="auto"/>
              <w:bottom w:val="nil"/>
            </w:tcBorders>
            <w:shd w:val="clear" w:color="auto" w:fill="auto"/>
            <w:noWrap/>
            <w:vAlign w:val="bottom"/>
            <w:hideMark/>
          </w:tcPr>
          <w:p w14:paraId="1985FBEA" w14:textId="77777777" w:rsidR="00810AB7" w:rsidRPr="00810AB7" w:rsidRDefault="00810AB7" w:rsidP="00810AB7">
            <w:pPr>
              <w:spacing w:line="240" w:lineRule="auto"/>
              <w:rPr>
                <w:rFonts w:ascii="Calibri" w:eastAsia="Times New Roman" w:hAnsi="Calibri" w:cs="Times New Roman"/>
                <w:szCs w:val="22"/>
                <w:lang w:eastAsia="en-GB"/>
              </w:rPr>
            </w:pPr>
          </w:p>
        </w:tc>
        <w:tc>
          <w:tcPr>
            <w:tcW w:w="960" w:type="dxa"/>
            <w:tcBorders>
              <w:top w:val="single" w:sz="4" w:space="0" w:color="auto"/>
              <w:bottom w:val="nil"/>
            </w:tcBorders>
            <w:shd w:val="clear" w:color="auto" w:fill="auto"/>
            <w:noWrap/>
            <w:vAlign w:val="bottom"/>
            <w:hideMark/>
          </w:tcPr>
          <w:p w14:paraId="441E059E" w14:textId="77777777" w:rsidR="00810AB7" w:rsidRPr="00810AB7" w:rsidRDefault="00810AB7" w:rsidP="00810AB7">
            <w:pPr>
              <w:spacing w:line="240" w:lineRule="auto"/>
              <w:rPr>
                <w:rFonts w:ascii="Times New Roman" w:eastAsia="Times New Roman" w:hAnsi="Times New Roman" w:cs="Times New Roman"/>
                <w:sz w:val="20"/>
                <w:szCs w:val="20"/>
                <w:lang w:eastAsia="en-GB"/>
              </w:rPr>
            </w:pPr>
          </w:p>
        </w:tc>
        <w:tc>
          <w:tcPr>
            <w:tcW w:w="960" w:type="dxa"/>
            <w:tcBorders>
              <w:top w:val="single" w:sz="4" w:space="0" w:color="auto"/>
              <w:bottom w:val="nil"/>
            </w:tcBorders>
            <w:shd w:val="clear" w:color="auto" w:fill="auto"/>
            <w:noWrap/>
            <w:vAlign w:val="bottom"/>
            <w:hideMark/>
          </w:tcPr>
          <w:p w14:paraId="4ECA4E6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r>
      <w:tr w:rsidR="00810AB7" w:rsidRPr="00810AB7" w14:paraId="7F35002E" w14:textId="77777777" w:rsidTr="00734191">
        <w:trPr>
          <w:trHeight w:val="288"/>
        </w:trPr>
        <w:tc>
          <w:tcPr>
            <w:tcW w:w="3793" w:type="dxa"/>
            <w:tcBorders>
              <w:top w:val="nil"/>
            </w:tcBorders>
            <w:shd w:val="clear" w:color="auto" w:fill="auto"/>
            <w:noWrap/>
            <w:vAlign w:val="bottom"/>
            <w:hideMark/>
          </w:tcPr>
          <w:p w14:paraId="2E53AE1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Initial adjustment </w:t>
            </w:r>
            <w:r w:rsidRPr="00810AB7">
              <w:rPr>
                <w:rFonts w:ascii="Calibri" w:eastAsia="Times New Roman" w:hAnsi="Calibri" w:cs="Times New Roman"/>
                <w:szCs w:val="22"/>
                <w:vertAlign w:val="superscript"/>
                <w:lang w:eastAsia="en-GB"/>
              </w:rPr>
              <w:t>[1, 2]</w:t>
            </w:r>
          </w:p>
        </w:tc>
        <w:tc>
          <w:tcPr>
            <w:tcW w:w="960" w:type="dxa"/>
            <w:tcBorders>
              <w:top w:val="nil"/>
            </w:tcBorders>
            <w:shd w:val="clear" w:color="auto" w:fill="auto"/>
            <w:noWrap/>
            <w:vAlign w:val="bottom"/>
            <w:hideMark/>
          </w:tcPr>
          <w:p w14:paraId="5B4A923A"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3.7% +</w:t>
            </w:r>
          </w:p>
        </w:tc>
        <w:tc>
          <w:tcPr>
            <w:tcW w:w="960" w:type="dxa"/>
            <w:tcBorders>
              <w:top w:val="nil"/>
            </w:tcBorders>
            <w:shd w:val="clear" w:color="auto" w:fill="auto"/>
            <w:noWrap/>
            <w:vAlign w:val="bottom"/>
            <w:hideMark/>
          </w:tcPr>
          <w:p w14:paraId="56D8AE29"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5.4% **</w:t>
            </w:r>
          </w:p>
        </w:tc>
        <w:tc>
          <w:tcPr>
            <w:tcW w:w="960" w:type="dxa"/>
            <w:tcBorders>
              <w:top w:val="nil"/>
            </w:tcBorders>
            <w:shd w:val="clear" w:color="auto" w:fill="auto"/>
            <w:noWrap/>
            <w:vAlign w:val="bottom"/>
            <w:hideMark/>
          </w:tcPr>
          <w:p w14:paraId="519E34B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3.3% </w:t>
            </w:r>
          </w:p>
        </w:tc>
        <w:tc>
          <w:tcPr>
            <w:tcW w:w="1098" w:type="dxa"/>
            <w:tcBorders>
              <w:top w:val="nil"/>
            </w:tcBorders>
            <w:shd w:val="clear" w:color="auto" w:fill="auto"/>
            <w:noWrap/>
            <w:vAlign w:val="bottom"/>
            <w:hideMark/>
          </w:tcPr>
          <w:p w14:paraId="3D59E1F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-4.8% **</w:t>
            </w:r>
          </w:p>
        </w:tc>
        <w:tc>
          <w:tcPr>
            <w:tcW w:w="960" w:type="dxa"/>
            <w:tcBorders>
              <w:top w:val="nil"/>
            </w:tcBorders>
            <w:shd w:val="clear" w:color="auto" w:fill="auto"/>
            <w:noWrap/>
            <w:vAlign w:val="bottom"/>
            <w:hideMark/>
          </w:tcPr>
          <w:p w14:paraId="3C3EC07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-0.5% </w:t>
            </w:r>
          </w:p>
        </w:tc>
        <w:tc>
          <w:tcPr>
            <w:tcW w:w="960" w:type="dxa"/>
            <w:tcBorders>
              <w:top w:val="nil"/>
            </w:tcBorders>
            <w:shd w:val="clear" w:color="auto" w:fill="auto"/>
            <w:noWrap/>
            <w:vAlign w:val="bottom"/>
            <w:hideMark/>
          </w:tcPr>
          <w:p w14:paraId="4E6B2345"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-2.4% </w:t>
            </w:r>
          </w:p>
        </w:tc>
      </w:tr>
      <w:tr w:rsidR="00810AB7" w:rsidRPr="00810AB7" w14:paraId="1F3733D4" w14:textId="77777777" w:rsidTr="00734191">
        <w:trPr>
          <w:trHeight w:val="288"/>
        </w:trPr>
        <w:tc>
          <w:tcPr>
            <w:tcW w:w="3793" w:type="dxa"/>
            <w:tcBorders>
              <w:top w:val="nil"/>
              <w:bottom w:val="single" w:sz="4" w:space="0" w:color="auto"/>
            </w:tcBorders>
            <w:shd w:val="clear" w:color="auto" w:fill="auto"/>
            <w:noWrap/>
            <w:vAlign w:val="bottom"/>
            <w:hideMark/>
          </w:tcPr>
          <w:p w14:paraId="2F54D70E"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Adjustment for other factors </w:t>
            </w:r>
            <w:r w:rsidRPr="00810AB7">
              <w:rPr>
                <w:rFonts w:ascii="Calibri" w:eastAsia="Times New Roman" w:hAnsi="Calibri" w:cs="Times New Roman"/>
                <w:szCs w:val="22"/>
                <w:vertAlign w:val="superscript"/>
                <w:lang w:eastAsia="en-GB"/>
              </w:rPr>
              <w:t>[1, 3]</w:t>
            </w:r>
          </w:p>
        </w:tc>
        <w:tc>
          <w:tcPr>
            <w:tcW w:w="960" w:type="dxa"/>
            <w:tcBorders>
              <w:top w:val="nil"/>
              <w:bottom w:val="single" w:sz="4" w:space="0" w:color="auto"/>
            </w:tcBorders>
            <w:shd w:val="clear" w:color="auto" w:fill="auto"/>
            <w:noWrap/>
            <w:vAlign w:val="bottom"/>
            <w:hideMark/>
          </w:tcPr>
          <w:p w14:paraId="64CAEE9A"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4.6% *</w:t>
            </w:r>
          </w:p>
        </w:tc>
        <w:tc>
          <w:tcPr>
            <w:tcW w:w="960" w:type="dxa"/>
            <w:tcBorders>
              <w:top w:val="nil"/>
              <w:bottom w:val="single" w:sz="4" w:space="0" w:color="auto"/>
            </w:tcBorders>
            <w:shd w:val="clear" w:color="auto" w:fill="auto"/>
            <w:noWrap/>
            <w:vAlign w:val="bottom"/>
            <w:hideMark/>
          </w:tcPr>
          <w:p w14:paraId="583084D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3.9% *</w:t>
            </w:r>
          </w:p>
        </w:tc>
        <w:tc>
          <w:tcPr>
            <w:tcW w:w="960" w:type="dxa"/>
            <w:tcBorders>
              <w:top w:val="nil"/>
              <w:bottom w:val="single" w:sz="4" w:space="0" w:color="auto"/>
            </w:tcBorders>
            <w:shd w:val="clear" w:color="auto" w:fill="auto"/>
            <w:noWrap/>
            <w:vAlign w:val="bottom"/>
            <w:hideMark/>
          </w:tcPr>
          <w:p w14:paraId="58648EA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4.5% *</w:t>
            </w:r>
          </w:p>
        </w:tc>
        <w:tc>
          <w:tcPr>
            <w:tcW w:w="1098" w:type="dxa"/>
            <w:tcBorders>
              <w:top w:val="nil"/>
              <w:bottom w:val="single" w:sz="4" w:space="0" w:color="auto"/>
            </w:tcBorders>
            <w:shd w:val="clear" w:color="auto" w:fill="auto"/>
            <w:noWrap/>
            <w:vAlign w:val="bottom"/>
            <w:hideMark/>
          </w:tcPr>
          <w:p w14:paraId="24C1B47A"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-4.4% *</w:t>
            </w:r>
          </w:p>
        </w:tc>
        <w:tc>
          <w:tcPr>
            <w:tcW w:w="960" w:type="dxa"/>
            <w:tcBorders>
              <w:top w:val="nil"/>
              <w:bottom w:val="single" w:sz="4" w:space="0" w:color="auto"/>
            </w:tcBorders>
            <w:shd w:val="clear" w:color="auto" w:fill="auto"/>
            <w:noWrap/>
            <w:vAlign w:val="bottom"/>
            <w:hideMark/>
          </w:tcPr>
          <w:p w14:paraId="36355FF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-0.4% </w:t>
            </w:r>
          </w:p>
        </w:tc>
        <w:tc>
          <w:tcPr>
            <w:tcW w:w="960" w:type="dxa"/>
            <w:tcBorders>
              <w:top w:val="nil"/>
              <w:bottom w:val="single" w:sz="4" w:space="0" w:color="auto"/>
            </w:tcBorders>
            <w:shd w:val="clear" w:color="auto" w:fill="auto"/>
            <w:noWrap/>
            <w:vAlign w:val="bottom"/>
            <w:hideMark/>
          </w:tcPr>
          <w:p w14:paraId="38AEA686"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-1.4% </w:t>
            </w:r>
          </w:p>
        </w:tc>
      </w:tr>
      <w:tr w:rsidR="00810AB7" w:rsidRPr="00810AB7" w14:paraId="45FFCB64" w14:textId="77777777" w:rsidTr="00734191">
        <w:trPr>
          <w:trHeight w:val="288"/>
        </w:trPr>
        <w:tc>
          <w:tcPr>
            <w:tcW w:w="3793" w:type="dxa"/>
            <w:tcBorders>
              <w:top w:val="single" w:sz="4" w:space="0" w:color="auto"/>
              <w:bottom w:val="nil"/>
            </w:tcBorders>
            <w:shd w:val="clear" w:color="auto" w:fill="auto"/>
            <w:noWrap/>
            <w:vAlign w:val="bottom"/>
            <w:hideMark/>
          </w:tcPr>
          <w:p w14:paraId="23CC1AFE" w14:textId="77777777" w:rsidR="00810AB7" w:rsidRPr="00810AB7" w:rsidRDefault="00810AB7" w:rsidP="00810AB7">
            <w:pPr>
              <w:spacing w:line="240" w:lineRule="auto"/>
              <w:rPr>
                <w:rFonts w:ascii="Calibri" w:eastAsia="Times New Roman" w:hAnsi="Calibri" w:cs="Times New Roman"/>
                <w:b/>
                <w:bCs/>
                <w:szCs w:val="22"/>
                <w:lang w:eastAsia="en-GB"/>
              </w:rPr>
            </w:pPr>
            <w:r w:rsidRPr="00810AB7">
              <w:rPr>
                <w:rFonts w:ascii="Calibri" w:eastAsia="Times New Roman" w:hAnsi="Calibri" w:cs="Times New Roman"/>
                <w:b/>
                <w:bCs/>
                <w:szCs w:val="22"/>
                <w:lang w:eastAsia="en-GB"/>
              </w:rPr>
              <w:t>Other factors (mutually adjusted)</w:t>
            </w:r>
          </w:p>
        </w:tc>
        <w:tc>
          <w:tcPr>
            <w:tcW w:w="960" w:type="dxa"/>
            <w:tcBorders>
              <w:top w:val="single" w:sz="4" w:space="0" w:color="auto"/>
              <w:bottom w:val="nil"/>
            </w:tcBorders>
            <w:shd w:val="clear" w:color="auto" w:fill="auto"/>
            <w:noWrap/>
            <w:vAlign w:val="bottom"/>
            <w:hideMark/>
          </w:tcPr>
          <w:p w14:paraId="683446FB"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960" w:type="dxa"/>
            <w:tcBorders>
              <w:top w:val="single" w:sz="4" w:space="0" w:color="auto"/>
              <w:bottom w:val="nil"/>
            </w:tcBorders>
            <w:shd w:val="clear" w:color="auto" w:fill="auto"/>
            <w:noWrap/>
            <w:vAlign w:val="bottom"/>
            <w:hideMark/>
          </w:tcPr>
          <w:p w14:paraId="3893FAAD" w14:textId="77777777" w:rsidR="00810AB7" w:rsidRPr="00810AB7" w:rsidRDefault="00810AB7" w:rsidP="00810AB7">
            <w:pPr>
              <w:spacing w:line="240" w:lineRule="auto"/>
              <w:rPr>
                <w:rFonts w:ascii="Calibri" w:eastAsia="Times New Roman" w:hAnsi="Calibri" w:cs="Times New Roman"/>
                <w:szCs w:val="22"/>
                <w:lang w:eastAsia="en-GB"/>
              </w:rPr>
            </w:pPr>
          </w:p>
        </w:tc>
        <w:tc>
          <w:tcPr>
            <w:tcW w:w="960" w:type="dxa"/>
            <w:tcBorders>
              <w:top w:val="single" w:sz="4" w:space="0" w:color="auto"/>
              <w:bottom w:val="nil"/>
            </w:tcBorders>
            <w:shd w:val="clear" w:color="auto" w:fill="auto"/>
            <w:noWrap/>
            <w:vAlign w:val="bottom"/>
            <w:hideMark/>
          </w:tcPr>
          <w:p w14:paraId="2004A37B"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c>
          <w:tcPr>
            <w:tcW w:w="1098" w:type="dxa"/>
            <w:tcBorders>
              <w:top w:val="single" w:sz="4" w:space="0" w:color="auto"/>
              <w:bottom w:val="nil"/>
            </w:tcBorders>
            <w:shd w:val="clear" w:color="auto" w:fill="auto"/>
            <w:noWrap/>
            <w:vAlign w:val="bottom"/>
            <w:hideMark/>
          </w:tcPr>
          <w:p w14:paraId="6D0056FC" w14:textId="77777777" w:rsidR="00810AB7" w:rsidRPr="00810AB7" w:rsidRDefault="00810AB7" w:rsidP="00810AB7">
            <w:pPr>
              <w:spacing w:line="240" w:lineRule="auto"/>
              <w:rPr>
                <w:rFonts w:ascii="Calibri" w:eastAsia="Times New Roman" w:hAnsi="Calibri" w:cs="Times New Roman"/>
                <w:szCs w:val="22"/>
                <w:lang w:eastAsia="en-GB"/>
              </w:rPr>
            </w:pPr>
          </w:p>
        </w:tc>
        <w:tc>
          <w:tcPr>
            <w:tcW w:w="960" w:type="dxa"/>
            <w:tcBorders>
              <w:top w:val="single" w:sz="4" w:space="0" w:color="auto"/>
              <w:bottom w:val="nil"/>
            </w:tcBorders>
            <w:shd w:val="clear" w:color="auto" w:fill="auto"/>
            <w:noWrap/>
            <w:vAlign w:val="bottom"/>
            <w:hideMark/>
          </w:tcPr>
          <w:p w14:paraId="4115EF51" w14:textId="77777777" w:rsidR="00810AB7" w:rsidRPr="00810AB7" w:rsidRDefault="00810AB7" w:rsidP="00810AB7">
            <w:pPr>
              <w:spacing w:line="240" w:lineRule="auto"/>
              <w:rPr>
                <w:rFonts w:ascii="Times New Roman" w:eastAsia="Times New Roman" w:hAnsi="Times New Roman" w:cs="Times New Roman"/>
                <w:sz w:val="20"/>
                <w:szCs w:val="20"/>
                <w:lang w:eastAsia="en-GB"/>
              </w:rPr>
            </w:pPr>
          </w:p>
        </w:tc>
        <w:tc>
          <w:tcPr>
            <w:tcW w:w="960" w:type="dxa"/>
            <w:tcBorders>
              <w:top w:val="single" w:sz="4" w:space="0" w:color="auto"/>
              <w:bottom w:val="nil"/>
            </w:tcBorders>
            <w:shd w:val="clear" w:color="auto" w:fill="auto"/>
            <w:noWrap/>
            <w:vAlign w:val="bottom"/>
            <w:hideMark/>
          </w:tcPr>
          <w:p w14:paraId="018AD451"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w:t>
            </w:r>
          </w:p>
        </w:tc>
      </w:tr>
      <w:tr w:rsidR="00810AB7" w:rsidRPr="00810AB7" w14:paraId="3A5F16A4" w14:textId="77777777" w:rsidTr="00734191">
        <w:trPr>
          <w:trHeight w:val="288"/>
        </w:trPr>
        <w:tc>
          <w:tcPr>
            <w:tcW w:w="3793" w:type="dxa"/>
            <w:tcBorders>
              <w:top w:val="nil"/>
              <w:bottom w:val="nil"/>
            </w:tcBorders>
            <w:shd w:val="clear" w:color="auto" w:fill="auto"/>
            <w:noWrap/>
            <w:vAlign w:val="bottom"/>
            <w:hideMark/>
          </w:tcPr>
          <w:p w14:paraId="012A9C5E"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Personally claims out-of-work benefit</w:t>
            </w:r>
          </w:p>
        </w:tc>
        <w:tc>
          <w:tcPr>
            <w:tcW w:w="960" w:type="dxa"/>
            <w:tcBorders>
              <w:top w:val="nil"/>
              <w:bottom w:val="nil"/>
            </w:tcBorders>
            <w:shd w:val="clear" w:color="auto" w:fill="auto"/>
            <w:noWrap/>
            <w:vAlign w:val="bottom"/>
            <w:hideMark/>
          </w:tcPr>
          <w:p w14:paraId="5ABD6357"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0.8% </w:t>
            </w:r>
          </w:p>
        </w:tc>
        <w:tc>
          <w:tcPr>
            <w:tcW w:w="960" w:type="dxa"/>
            <w:tcBorders>
              <w:top w:val="nil"/>
              <w:bottom w:val="nil"/>
            </w:tcBorders>
            <w:shd w:val="clear" w:color="auto" w:fill="auto"/>
            <w:noWrap/>
            <w:vAlign w:val="bottom"/>
            <w:hideMark/>
          </w:tcPr>
          <w:p w14:paraId="2E98EC5B"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-7.9% *</w:t>
            </w:r>
          </w:p>
        </w:tc>
        <w:tc>
          <w:tcPr>
            <w:tcW w:w="960" w:type="dxa"/>
            <w:tcBorders>
              <w:top w:val="nil"/>
              <w:bottom w:val="nil"/>
            </w:tcBorders>
            <w:shd w:val="clear" w:color="auto" w:fill="auto"/>
            <w:noWrap/>
            <w:vAlign w:val="bottom"/>
            <w:hideMark/>
          </w:tcPr>
          <w:p w14:paraId="3BB025A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-3.5% </w:t>
            </w:r>
          </w:p>
        </w:tc>
        <w:tc>
          <w:tcPr>
            <w:tcW w:w="1098" w:type="dxa"/>
            <w:tcBorders>
              <w:top w:val="nil"/>
              <w:bottom w:val="nil"/>
            </w:tcBorders>
            <w:shd w:val="clear" w:color="auto" w:fill="auto"/>
            <w:noWrap/>
            <w:vAlign w:val="bottom"/>
            <w:hideMark/>
          </w:tcPr>
          <w:p w14:paraId="6FA0E276"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3.5% </w:t>
            </w:r>
          </w:p>
        </w:tc>
        <w:tc>
          <w:tcPr>
            <w:tcW w:w="960" w:type="dxa"/>
            <w:tcBorders>
              <w:top w:val="nil"/>
              <w:bottom w:val="nil"/>
            </w:tcBorders>
            <w:shd w:val="clear" w:color="auto" w:fill="auto"/>
            <w:noWrap/>
            <w:vAlign w:val="bottom"/>
            <w:hideMark/>
          </w:tcPr>
          <w:p w14:paraId="0A1CB990"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-2.0% </w:t>
            </w:r>
          </w:p>
        </w:tc>
        <w:tc>
          <w:tcPr>
            <w:tcW w:w="960" w:type="dxa"/>
            <w:tcBorders>
              <w:top w:val="nil"/>
              <w:bottom w:val="nil"/>
            </w:tcBorders>
            <w:shd w:val="clear" w:color="auto" w:fill="auto"/>
            <w:noWrap/>
            <w:vAlign w:val="bottom"/>
            <w:hideMark/>
          </w:tcPr>
          <w:p w14:paraId="0B0783F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0.2% </w:t>
            </w:r>
          </w:p>
        </w:tc>
      </w:tr>
      <w:tr w:rsidR="00810AB7" w:rsidRPr="00810AB7" w14:paraId="6A19B851" w14:textId="77777777" w:rsidTr="00734191">
        <w:trPr>
          <w:trHeight w:val="288"/>
        </w:trPr>
        <w:tc>
          <w:tcPr>
            <w:tcW w:w="3793" w:type="dxa"/>
            <w:tcBorders>
              <w:top w:val="nil"/>
              <w:bottom w:val="nil"/>
            </w:tcBorders>
            <w:shd w:val="clear" w:color="auto" w:fill="auto"/>
            <w:noWrap/>
            <w:vAlign w:val="bottom"/>
            <w:hideMark/>
          </w:tcPr>
          <w:p w14:paraId="6CF45EFA"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Local authority unemployment rate </w:t>
            </w:r>
            <w:r w:rsidRPr="00810AB7">
              <w:rPr>
                <w:rFonts w:ascii="Calibri" w:eastAsia="Times New Roman" w:hAnsi="Calibri" w:cs="Times New Roman"/>
                <w:szCs w:val="22"/>
                <w:vertAlign w:val="superscript"/>
                <w:lang w:eastAsia="en-GB"/>
              </w:rPr>
              <w:t>[1]</w:t>
            </w:r>
          </w:p>
        </w:tc>
        <w:tc>
          <w:tcPr>
            <w:tcW w:w="960" w:type="dxa"/>
            <w:tcBorders>
              <w:top w:val="nil"/>
              <w:bottom w:val="nil"/>
            </w:tcBorders>
            <w:shd w:val="clear" w:color="auto" w:fill="auto"/>
            <w:noWrap/>
            <w:vAlign w:val="bottom"/>
            <w:hideMark/>
          </w:tcPr>
          <w:p w14:paraId="75EC8F0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5.0% </w:t>
            </w:r>
          </w:p>
        </w:tc>
        <w:tc>
          <w:tcPr>
            <w:tcW w:w="960" w:type="dxa"/>
            <w:tcBorders>
              <w:top w:val="nil"/>
              <w:bottom w:val="nil"/>
            </w:tcBorders>
            <w:shd w:val="clear" w:color="auto" w:fill="auto"/>
            <w:noWrap/>
            <w:vAlign w:val="bottom"/>
            <w:hideMark/>
          </w:tcPr>
          <w:p w14:paraId="0F37390A"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5.1% +</w:t>
            </w:r>
          </w:p>
        </w:tc>
        <w:tc>
          <w:tcPr>
            <w:tcW w:w="960" w:type="dxa"/>
            <w:tcBorders>
              <w:top w:val="nil"/>
              <w:bottom w:val="nil"/>
            </w:tcBorders>
            <w:shd w:val="clear" w:color="auto" w:fill="auto"/>
            <w:noWrap/>
            <w:vAlign w:val="bottom"/>
            <w:hideMark/>
          </w:tcPr>
          <w:p w14:paraId="5493EB1B"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0.6% </w:t>
            </w:r>
          </w:p>
        </w:tc>
        <w:tc>
          <w:tcPr>
            <w:tcW w:w="1098" w:type="dxa"/>
            <w:tcBorders>
              <w:top w:val="nil"/>
              <w:bottom w:val="nil"/>
            </w:tcBorders>
            <w:shd w:val="clear" w:color="auto" w:fill="auto"/>
            <w:noWrap/>
            <w:vAlign w:val="bottom"/>
            <w:hideMark/>
          </w:tcPr>
          <w:p w14:paraId="49AF46A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3.2% +</w:t>
            </w:r>
          </w:p>
        </w:tc>
        <w:tc>
          <w:tcPr>
            <w:tcW w:w="960" w:type="dxa"/>
            <w:tcBorders>
              <w:top w:val="nil"/>
              <w:bottom w:val="nil"/>
            </w:tcBorders>
            <w:shd w:val="clear" w:color="auto" w:fill="auto"/>
            <w:noWrap/>
            <w:vAlign w:val="bottom"/>
            <w:hideMark/>
          </w:tcPr>
          <w:p w14:paraId="6437027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0.8% </w:t>
            </w:r>
          </w:p>
        </w:tc>
        <w:tc>
          <w:tcPr>
            <w:tcW w:w="960" w:type="dxa"/>
            <w:tcBorders>
              <w:top w:val="nil"/>
              <w:bottom w:val="nil"/>
            </w:tcBorders>
            <w:shd w:val="clear" w:color="auto" w:fill="auto"/>
            <w:noWrap/>
            <w:vAlign w:val="bottom"/>
            <w:hideMark/>
          </w:tcPr>
          <w:p w14:paraId="2D672C4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3.4% </w:t>
            </w:r>
          </w:p>
        </w:tc>
      </w:tr>
      <w:tr w:rsidR="00810AB7" w:rsidRPr="00810AB7" w14:paraId="26CE47D1" w14:textId="77777777" w:rsidTr="00734191">
        <w:trPr>
          <w:trHeight w:val="288"/>
        </w:trPr>
        <w:tc>
          <w:tcPr>
            <w:tcW w:w="3793" w:type="dxa"/>
            <w:tcBorders>
              <w:top w:val="nil"/>
              <w:bottom w:val="nil"/>
            </w:tcBorders>
            <w:shd w:val="clear" w:color="auto" w:fill="auto"/>
            <w:noWrap/>
            <w:vAlign w:val="bottom"/>
            <w:hideMark/>
          </w:tcPr>
          <w:p w14:paraId="77C0DB2E"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Not working (vs. full-time worker)</w:t>
            </w:r>
          </w:p>
        </w:tc>
        <w:tc>
          <w:tcPr>
            <w:tcW w:w="960" w:type="dxa"/>
            <w:tcBorders>
              <w:top w:val="nil"/>
              <w:bottom w:val="nil"/>
            </w:tcBorders>
            <w:shd w:val="clear" w:color="auto" w:fill="auto"/>
            <w:noWrap/>
            <w:vAlign w:val="bottom"/>
            <w:hideMark/>
          </w:tcPr>
          <w:p w14:paraId="3CA57929"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4.1% </w:t>
            </w:r>
          </w:p>
        </w:tc>
        <w:tc>
          <w:tcPr>
            <w:tcW w:w="960" w:type="dxa"/>
            <w:tcBorders>
              <w:top w:val="nil"/>
              <w:bottom w:val="nil"/>
            </w:tcBorders>
            <w:shd w:val="clear" w:color="auto" w:fill="auto"/>
            <w:noWrap/>
            <w:vAlign w:val="bottom"/>
            <w:hideMark/>
          </w:tcPr>
          <w:p w14:paraId="3325E0B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2.5% </w:t>
            </w:r>
          </w:p>
        </w:tc>
        <w:tc>
          <w:tcPr>
            <w:tcW w:w="960" w:type="dxa"/>
            <w:tcBorders>
              <w:top w:val="nil"/>
              <w:bottom w:val="nil"/>
            </w:tcBorders>
            <w:shd w:val="clear" w:color="auto" w:fill="auto"/>
            <w:noWrap/>
            <w:vAlign w:val="bottom"/>
            <w:hideMark/>
          </w:tcPr>
          <w:p w14:paraId="4F2A25D1"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5.4% +</w:t>
            </w:r>
          </w:p>
        </w:tc>
        <w:tc>
          <w:tcPr>
            <w:tcW w:w="1098" w:type="dxa"/>
            <w:tcBorders>
              <w:top w:val="nil"/>
              <w:bottom w:val="nil"/>
            </w:tcBorders>
            <w:shd w:val="clear" w:color="auto" w:fill="auto"/>
            <w:noWrap/>
            <w:vAlign w:val="bottom"/>
            <w:hideMark/>
          </w:tcPr>
          <w:p w14:paraId="1EF9A74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-1.9% </w:t>
            </w:r>
          </w:p>
        </w:tc>
        <w:tc>
          <w:tcPr>
            <w:tcW w:w="960" w:type="dxa"/>
            <w:tcBorders>
              <w:top w:val="nil"/>
              <w:bottom w:val="nil"/>
            </w:tcBorders>
            <w:shd w:val="clear" w:color="auto" w:fill="auto"/>
            <w:noWrap/>
            <w:vAlign w:val="bottom"/>
            <w:hideMark/>
          </w:tcPr>
          <w:p w14:paraId="6A924AC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0.7% </w:t>
            </w:r>
          </w:p>
        </w:tc>
        <w:tc>
          <w:tcPr>
            <w:tcW w:w="960" w:type="dxa"/>
            <w:tcBorders>
              <w:top w:val="nil"/>
              <w:bottom w:val="nil"/>
            </w:tcBorders>
            <w:shd w:val="clear" w:color="auto" w:fill="auto"/>
            <w:noWrap/>
            <w:vAlign w:val="bottom"/>
            <w:hideMark/>
          </w:tcPr>
          <w:p w14:paraId="094B3F76"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-0.6% </w:t>
            </w:r>
          </w:p>
        </w:tc>
      </w:tr>
      <w:tr w:rsidR="00810AB7" w:rsidRPr="00810AB7" w14:paraId="47D84019" w14:textId="77777777" w:rsidTr="00734191">
        <w:trPr>
          <w:trHeight w:val="288"/>
        </w:trPr>
        <w:tc>
          <w:tcPr>
            <w:tcW w:w="3793" w:type="dxa"/>
            <w:tcBorders>
              <w:top w:val="nil"/>
            </w:tcBorders>
            <w:shd w:val="clear" w:color="auto" w:fill="auto"/>
            <w:noWrap/>
            <w:vAlign w:val="bottom"/>
            <w:hideMark/>
          </w:tcPr>
          <w:p w14:paraId="52A5EE5F"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Social housing (vs. owner-occupier)</w:t>
            </w:r>
          </w:p>
        </w:tc>
        <w:tc>
          <w:tcPr>
            <w:tcW w:w="960" w:type="dxa"/>
            <w:tcBorders>
              <w:top w:val="nil"/>
            </w:tcBorders>
            <w:shd w:val="clear" w:color="auto" w:fill="auto"/>
            <w:noWrap/>
            <w:vAlign w:val="bottom"/>
            <w:hideMark/>
          </w:tcPr>
          <w:p w14:paraId="42B69D5C"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-9.7% *</w:t>
            </w:r>
          </w:p>
        </w:tc>
        <w:tc>
          <w:tcPr>
            <w:tcW w:w="960" w:type="dxa"/>
            <w:tcBorders>
              <w:top w:val="nil"/>
            </w:tcBorders>
            <w:shd w:val="clear" w:color="auto" w:fill="auto"/>
            <w:noWrap/>
            <w:vAlign w:val="bottom"/>
            <w:hideMark/>
          </w:tcPr>
          <w:p w14:paraId="72BFAD0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-4.3% </w:t>
            </w:r>
          </w:p>
        </w:tc>
        <w:tc>
          <w:tcPr>
            <w:tcW w:w="960" w:type="dxa"/>
            <w:tcBorders>
              <w:top w:val="nil"/>
            </w:tcBorders>
            <w:shd w:val="clear" w:color="auto" w:fill="auto"/>
            <w:noWrap/>
            <w:vAlign w:val="bottom"/>
            <w:hideMark/>
          </w:tcPr>
          <w:p w14:paraId="3E5D16B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-6.3% +</w:t>
            </w:r>
          </w:p>
        </w:tc>
        <w:tc>
          <w:tcPr>
            <w:tcW w:w="1098" w:type="dxa"/>
            <w:tcBorders>
              <w:top w:val="nil"/>
            </w:tcBorders>
            <w:shd w:val="clear" w:color="auto" w:fill="auto"/>
            <w:noWrap/>
            <w:vAlign w:val="bottom"/>
            <w:hideMark/>
          </w:tcPr>
          <w:p w14:paraId="143D676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-4.2% </w:t>
            </w:r>
          </w:p>
        </w:tc>
        <w:tc>
          <w:tcPr>
            <w:tcW w:w="960" w:type="dxa"/>
            <w:tcBorders>
              <w:top w:val="nil"/>
            </w:tcBorders>
            <w:shd w:val="clear" w:color="auto" w:fill="auto"/>
            <w:noWrap/>
            <w:vAlign w:val="bottom"/>
            <w:hideMark/>
          </w:tcPr>
          <w:p w14:paraId="12B412F1"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-2.1% </w:t>
            </w:r>
          </w:p>
        </w:tc>
        <w:tc>
          <w:tcPr>
            <w:tcW w:w="960" w:type="dxa"/>
            <w:tcBorders>
              <w:top w:val="nil"/>
            </w:tcBorders>
            <w:shd w:val="clear" w:color="auto" w:fill="auto"/>
            <w:noWrap/>
            <w:vAlign w:val="bottom"/>
            <w:hideMark/>
          </w:tcPr>
          <w:p w14:paraId="21475017"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-5.4% </w:t>
            </w:r>
          </w:p>
        </w:tc>
      </w:tr>
      <w:tr w:rsidR="00810AB7" w:rsidRPr="00810AB7" w14:paraId="047ABB94" w14:textId="77777777" w:rsidTr="00734191">
        <w:trPr>
          <w:trHeight w:val="288"/>
        </w:trPr>
        <w:tc>
          <w:tcPr>
            <w:tcW w:w="3793" w:type="dxa"/>
            <w:tcBorders>
              <w:top w:val="nil"/>
              <w:bottom w:val="single" w:sz="4" w:space="0" w:color="auto"/>
            </w:tcBorders>
            <w:shd w:val="clear" w:color="auto" w:fill="auto"/>
            <w:noWrap/>
            <w:vAlign w:val="bottom"/>
            <w:hideMark/>
          </w:tcPr>
          <w:p w14:paraId="4E1FCC55"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No qualifications (vs. degree)</w:t>
            </w:r>
          </w:p>
        </w:tc>
        <w:tc>
          <w:tcPr>
            <w:tcW w:w="960" w:type="dxa"/>
            <w:tcBorders>
              <w:top w:val="nil"/>
              <w:bottom w:val="single" w:sz="4" w:space="0" w:color="auto"/>
            </w:tcBorders>
            <w:shd w:val="clear" w:color="auto" w:fill="auto"/>
            <w:noWrap/>
            <w:vAlign w:val="bottom"/>
            <w:hideMark/>
          </w:tcPr>
          <w:p w14:paraId="34EEBD2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-5.1% </w:t>
            </w:r>
          </w:p>
        </w:tc>
        <w:tc>
          <w:tcPr>
            <w:tcW w:w="960" w:type="dxa"/>
            <w:tcBorders>
              <w:top w:val="nil"/>
              <w:bottom w:val="single" w:sz="4" w:space="0" w:color="auto"/>
            </w:tcBorders>
            <w:shd w:val="clear" w:color="auto" w:fill="auto"/>
            <w:noWrap/>
            <w:vAlign w:val="bottom"/>
            <w:hideMark/>
          </w:tcPr>
          <w:p w14:paraId="45DA9C8A"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5.5% </w:t>
            </w:r>
          </w:p>
        </w:tc>
        <w:tc>
          <w:tcPr>
            <w:tcW w:w="960" w:type="dxa"/>
            <w:tcBorders>
              <w:top w:val="nil"/>
              <w:bottom w:val="single" w:sz="4" w:space="0" w:color="auto"/>
            </w:tcBorders>
            <w:shd w:val="clear" w:color="auto" w:fill="auto"/>
            <w:noWrap/>
            <w:vAlign w:val="bottom"/>
            <w:hideMark/>
          </w:tcPr>
          <w:p w14:paraId="6EB43624"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-3.2% </w:t>
            </w:r>
          </w:p>
        </w:tc>
        <w:tc>
          <w:tcPr>
            <w:tcW w:w="1098" w:type="dxa"/>
            <w:tcBorders>
              <w:top w:val="nil"/>
              <w:bottom w:val="single" w:sz="4" w:space="0" w:color="auto"/>
            </w:tcBorders>
            <w:shd w:val="clear" w:color="auto" w:fill="auto"/>
            <w:noWrap/>
            <w:vAlign w:val="bottom"/>
            <w:hideMark/>
          </w:tcPr>
          <w:p w14:paraId="128E0562"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-5.0% +</w:t>
            </w:r>
          </w:p>
        </w:tc>
        <w:tc>
          <w:tcPr>
            <w:tcW w:w="960" w:type="dxa"/>
            <w:tcBorders>
              <w:top w:val="nil"/>
              <w:bottom w:val="single" w:sz="4" w:space="0" w:color="auto"/>
            </w:tcBorders>
            <w:shd w:val="clear" w:color="auto" w:fill="auto"/>
            <w:noWrap/>
            <w:vAlign w:val="bottom"/>
            <w:hideMark/>
          </w:tcPr>
          <w:p w14:paraId="6D712F48"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 xml:space="preserve">0.4% </w:t>
            </w:r>
          </w:p>
        </w:tc>
        <w:tc>
          <w:tcPr>
            <w:tcW w:w="960" w:type="dxa"/>
            <w:tcBorders>
              <w:top w:val="nil"/>
              <w:bottom w:val="single" w:sz="4" w:space="0" w:color="auto"/>
            </w:tcBorders>
            <w:shd w:val="clear" w:color="auto" w:fill="auto"/>
            <w:noWrap/>
            <w:vAlign w:val="bottom"/>
            <w:hideMark/>
          </w:tcPr>
          <w:p w14:paraId="2A2FBD37" w14:textId="77777777" w:rsidR="00810AB7" w:rsidRPr="00810AB7" w:rsidRDefault="00810AB7" w:rsidP="00810AB7">
            <w:pPr>
              <w:spacing w:line="240" w:lineRule="auto"/>
              <w:rPr>
                <w:rFonts w:ascii="Calibri" w:eastAsia="Times New Roman" w:hAnsi="Calibri" w:cs="Times New Roman"/>
                <w:szCs w:val="22"/>
                <w:lang w:eastAsia="en-GB"/>
              </w:rPr>
            </w:pPr>
            <w:r w:rsidRPr="00810AB7">
              <w:rPr>
                <w:rFonts w:ascii="Calibri" w:eastAsia="Times New Roman" w:hAnsi="Calibri" w:cs="Times New Roman"/>
                <w:szCs w:val="22"/>
                <w:lang w:eastAsia="en-GB"/>
              </w:rPr>
              <w:t>-6.9% +</w:t>
            </w:r>
          </w:p>
        </w:tc>
      </w:tr>
    </w:tbl>
    <w:p w14:paraId="737AD303" w14:textId="77777777" w:rsidR="00810AB7" w:rsidRPr="00810AB7" w:rsidRDefault="00810AB7" w:rsidP="00810AB7">
      <w:pPr>
        <w:spacing w:before="60" w:after="240" w:line="240" w:lineRule="auto"/>
        <w:ind w:left="284"/>
        <w:rPr>
          <w:rFonts w:ascii="Calibri" w:eastAsia="Calibri" w:hAnsi="Calibri" w:cs="Times New Roman"/>
          <w:i/>
          <w:sz w:val="20"/>
        </w:rPr>
      </w:pPr>
      <w:r w:rsidRPr="00810AB7">
        <w:rPr>
          <w:rFonts w:ascii="Calibri" w:eastAsia="Calibri" w:hAnsi="Calibri" w:cs="Times New Roman"/>
          <w:i/>
          <w:sz w:val="20"/>
        </w:rPr>
        <w:t xml:space="preserve">Source: Ipsos MORI benefits stigma survey 2012.  All estimates show average marginal percentage point effects; +=p&lt;0.10, *=p&lt;0.05, **=p&lt;0.01.  </w:t>
      </w:r>
      <w:r w:rsidRPr="00810AB7">
        <w:rPr>
          <w:rFonts w:ascii="Calibri" w:eastAsia="Calibri" w:hAnsi="Calibri" w:cs="Times New Roman"/>
          <w:i/>
          <w:sz w:val="20"/>
          <w:vertAlign w:val="superscript"/>
        </w:rPr>
        <w:t>[1]</w:t>
      </w:r>
      <w:r w:rsidRPr="00810AB7">
        <w:rPr>
          <w:rFonts w:ascii="Calibri" w:eastAsia="Calibri" w:hAnsi="Calibri" w:cs="Times New Roman"/>
          <w:i/>
          <w:sz w:val="20"/>
        </w:rPr>
        <w:t xml:space="preserve"> ‘Claim/unemployment rates’ show the estimated difference between the middle of the top half vs. the middle of the bottom half of claims across areas (i.e. 75</w:t>
      </w:r>
      <w:r w:rsidRPr="00810AB7">
        <w:rPr>
          <w:rFonts w:ascii="Calibri" w:eastAsia="Calibri" w:hAnsi="Calibri" w:cs="Times New Roman"/>
          <w:i/>
          <w:sz w:val="20"/>
          <w:vertAlign w:val="superscript"/>
        </w:rPr>
        <w:t>th</w:t>
      </w:r>
      <w:r w:rsidRPr="00810AB7">
        <w:rPr>
          <w:rFonts w:ascii="Calibri" w:eastAsia="Calibri" w:hAnsi="Calibri" w:cs="Times New Roman"/>
          <w:i/>
          <w:sz w:val="20"/>
        </w:rPr>
        <w:t xml:space="preserve"> vs. 25</w:t>
      </w:r>
      <w:r w:rsidRPr="00810AB7">
        <w:rPr>
          <w:rFonts w:ascii="Calibri" w:eastAsia="Calibri" w:hAnsi="Calibri" w:cs="Times New Roman"/>
          <w:i/>
          <w:sz w:val="20"/>
          <w:vertAlign w:val="superscript"/>
        </w:rPr>
        <w:t>th</w:t>
      </w:r>
      <w:r w:rsidRPr="00810AB7">
        <w:rPr>
          <w:rFonts w:ascii="Calibri" w:eastAsia="Calibri" w:hAnsi="Calibri" w:cs="Times New Roman"/>
          <w:i/>
          <w:sz w:val="20"/>
        </w:rPr>
        <w:t xml:space="preserve"> percentiles).  </w:t>
      </w:r>
      <w:r w:rsidRPr="00810AB7">
        <w:rPr>
          <w:rFonts w:ascii="Calibri" w:eastAsia="Calibri" w:hAnsi="Calibri" w:cs="Times New Roman"/>
          <w:i/>
          <w:sz w:val="20"/>
          <w:vertAlign w:val="superscript"/>
        </w:rPr>
        <w:t>[2]</w:t>
      </w:r>
      <w:r w:rsidRPr="00810AB7">
        <w:rPr>
          <w:rFonts w:ascii="Calibri" w:eastAsia="Calibri" w:hAnsi="Calibri" w:cs="Times New Roman"/>
          <w:i/>
          <w:sz w:val="20"/>
        </w:rPr>
        <w:t xml:space="preserve"> ‘Initial adjustment’ is for age, gender, region, marital status, children, migration within the local authority, and personal benefit claims (out-of-work/tax credit/other). </w:t>
      </w:r>
      <w:r w:rsidRPr="00810AB7">
        <w:rPr>
          <w:rFonts w:ascii="Calibri" w:eastAsia="Calibri" w:hAnsi="Calibri" w:cs="Times New Roman"/>
          <w:i/>
          <w:sz w:val="20"/>
          <w:vertAlign w:val="superscript"/>
        </w:rPr>
        <w:t>[3]</w:t>
      </w:r>
      <w:r w:rsidRPr="00810AB7">
        <w:rPr>
          <w:rFonts w:ascii="Calibri" w:eastAsia="Calibri" w:hAnsi="Calibri" w:cs="Times New Roman"/>
          <w:i/>
          <w:sz w:val="20"/>
        </w:rPr>
        <w:t xml:space="preserve"> ‘Adjustment for other factors’ additionally controls for local authority unemployment rate, work status, housing tenure, and qualifications. </w:t>
      </w:r>
    </w:p>
    <w:p w14:paraId="68424A35" w14:textId="77777777" w:rsidR="00901C82" w:rsidRDefault="00901C82" w:rsidP="00901C82">
      <w:pPr>
        <w:pStyle w:val="Heading1"/>
      </w:pPr>
    </w:p>
    <w:sectPr w:rsidR="00901C82" w:rsidSect="004407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5F40B" w14:textId="77777777" w:rsidR="000817C4" w:rsidRDefault="000817C4" w:rsidP="00901C82">
      <w:r>
        <w:separator/>
      </w:r>
    </w:p>
  </w:endnote>
  <w:endnote w:type="continuationSeparator" w:id="0">
    <w:p w14:paraId="0AC5E514" w14:textId="77777777" w:rsidR="000817C4" w:rsidRDefault="000817C4" w:rsidP="0090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GRounded LT Light">
    <w:altName w:val="VAGRounded LT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835182"/>
      <w:docPartObj>
        <w:docPartGallery w:val="Page Numbers (Bottom of Page)"/>
        <w:docPartUnique/>
      </w:docPartObj>
    </w:sdtPr>
    <w:sdtEndPr>
      <w:rPr>
        <w:i/>
        <w:noProof/>
        <w:sz w:val="20"/>
      </w:rPr>
    </w:sdtEndPr>
    <w:sdtContent>
      <w:p w14:paraId="79458BE8" w14:textId="77777777" w:rsidR="0019023E" w:rsidRPr="00901C82" w:rsidRDefault="0019023E">
        <w:pPr>
          <w:pStyle w:val="Footer"/>
          <w:jc w:val="center"/>
          <w:rPr>
            <w:i/>
            <w:sz w:val="20"/>
          </w:rPr>
        </w:pPr>
        <w:r w:rsidRPr="00901C82">
          <w:rPr>
            <w:i/>
            <w:sz w:val="20"/>
          </w:rPr>
          <w:t xml:space="preserve">Page </w:t>
        </w:r>
        <w:r w:rsidRPr="00901C82">
          <w:rPr>
            <w:i/>
            <w:sz w:val="20"/>
          </w:rPr>
          <w:fldChar w:fldCharType="begin"/>
        </w:r>
        <w:r w:rsidRPr="00901C82">
          <w:rPr>
            <w:i/>
            <w:sz w:val="20"/>
          </w:rPr>
          <w:instrText xml:space="preserve"> PAGE   \* MERGEFORMAT </w:instrText>
        </w:r>
        <w:r w:rsidRPr="00901C82">
          <w:rPr>
            <w:i/>
            <w:sz w:val="20"/>
          </w:rPr>
          <w:fldChar w:fldCharType="separate"/>
        </w:r>
        <w:r w:rsidR="00285A91">
          <w:rPr>
            <w:i/>
            <w:noProof/>
            <w:sz w:val="20"/>
          </w:rPr>
          <w:t>1</w:t>
        </w:r>
        <w:r w:rsidRPr="00901C82">
          <w:rPr>
            <w:i/>
            <w:noProof/>
            <w:sz w:val="20"/>
          </w:rPr>
          <w:fldChar w:fldCharType="end"/>
        </w:r>
      </w:p>
    </w:sdtContent>
  </w:sdt>
  <w:p w14:paraId="7C154966" w14:textId="77777777" w:rsidR="0019023E" w:rsidRDefault="00190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970317"/>
      <w:docPartObj>
        <w:docPartGallery w:val="Page Numbers (Bottom of Page)"/>
        <w:docPartUnique/>
      </w:docPartObj>
    </w:sdtPr>
    <w:sdtEndPr>
      <w:rPr>
        <w:i/>
        <w:noProof/>
        <w:sz w:val="20"/>
      </w:rPr>
    </w:sdtEndPr>
    <w:sdtContent>
      <w:p w14:paraId="39344225" w14:textId="77777777" w:rsidR="00810AB7" w:rsidRPr="00901C82" w:rsidRDefault="00810AB7">
        <w:pPr>
          <w:pStyle w:val="Footer"/>
          <w:jc w:val="center"/>
          <w:rPr>
            <w:i/>
            <w:sz w:val="20"/>
          </w:rPr>
        </w:pPr>
        <w:r w:rsidRPr="00901C82">
          <w:rPr>
            <w:i/>
            <w:sz w:val="20"/>
          </w:rPr>
          <w:t xml:space="preserve">Page </w:t>
        </w:r>
        <w:r w:rsidRPr="00901C82">
          <w:rPr>
            <w:i/>
            <w:sz w:val="20"/>
          </w:rPr>
          <w:fldChar w:fldCharType="begin"/>
        </w:r>
        <w:r w:rsidRPr="00901C82">
          <w:rPr>
            <w:i/>
            <w:sz w:val="20"/>
          </w:rPr>
          <w:instrText xml:space="preserve"> PAGE   \* MERGEFORMAT </w:instrText>
        </w:r>
        <w:r w:rsidRPr="00901C82">
          <w:rPr>
            <w:i/>
            <w:sz w:val="20"/>
          </w:rPr>
          <w:fldChar w:fldCharType="separate"/>
        </w:r>
        <w:r w:rsidR="00285A91">
          <w:rPr>
            <w:i/>
            <w:noProof/>
            <w:sz w:val="20"/>
          </w:rPr>
          <w:t>24</w:t>
        </w:r>
        <w:r w:rsidRPr="00901C82">
          <w:rPr>
            <w:i/>
            <w:noProof/>
            <w:sz w:val="20"/>
          </w:rPr>
          <w:fldChar w:fldCharType="end"/>
        </w:r>
      </w:p>
    </w:sdtContent>
  </w:sdt>
  <w:p w14:paraId="24DA5B63" w14:textId="77777777" w:rsidR="00810AB7" w:rsidRDefault="00810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CA175" w14:textId="77777777" w:rsidR="000817C4" w:rsidRDefault="000817C4" w:rsidP="00901C82">
      <w:r>
        <w:separator/>
      </w:r>
    </w:p>
  </w:footnote>
  <w:footnote w:type="continuationSeparator" w:id="0">
    <w:p w14:paraId="70EA4A2F" w14:textId="77777777" w:rsidR="000817C4" w:rsidRDefault="000817C4" w:rsidP="00901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D31"/>
    <w:multiLevelType w:val="hybridMultilevel"/>
    <w:tmpl w:val="BEA09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97176"/>
    <w:multiLevelType w:val="hybridMultilevel"/>
    <w:tmpl w:val="CBD899B0"/>
    <w:lvl w:ilvl="0" w:tplc="91F62926">
      <w:start w:val="1"/>
      <w:numFmt w:val="decimal"/>
      <w:lvlText w:val="%1."/>
      <w:lvlJc w:val="left"/>
      <w:pPr>
        <w:ind w:left="720" w:hanging="360"/>
      </w:pPr>
      <w:rPr>
        <w:rFonts w:asciiTheme="minorHAnsi" w:eastAsiaTheme="minorHAnsi" w:hAnsiTheme="minorHAnsi" w:cs="VAGRounded LT Ligh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81658E"/>
    <w:multiLevelType w:val="hybridMultilevel"/>
    <w:tmpl w:val="5824C446"/>
    <w:lvl w:ilvl="0" w:tplc="68A86DD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840378"/>
    <w:multiLevelType w:val="hybridMultilevel"/>
    <w:tmpl w:val="CBD899B0"/>
    <w:lvl w:ilvl="0" w:tplc="91F62926">
      <w:start w:val="1"/>
      <w:numFmt w:val="decimal"/>
      <w:lvlText w:val="%1."/>
      <w:lvlJc w:val="left"/>
      <w:pPr>
        <w:ind w:left="720" w:hanging="360"/>
      </w:pPr>
      <w:rPr>
        <w:rFonts w:asciiTheme="minorHAnsi" w:eastAsiaTheme="minorHAnsi" w:hAnsiTheme="minorHAnsi" w:cs="VAGRounded LT Ligh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52C5C"/>
    <w:multiLevelType w:val="hybridMultilevel"/>
    <w:tmpl w:val="DC50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F86F99"/>
    <w:multiLevelType w:val="hybridMultilevel"/>
    <w:tmpl w:val="00D2D1B8"/>
    <w:lvl w:ilvl="0" w:tplc="8E9462C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1B6898"/>
    <w:multiLevelType w:val="hybridMultilevel"/>
    <w:tmpl w:val="C3507648"/>
    <w:lvl w:ilvl="0" w:tplc="FB78BD9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E82FF6"/>
    <w:multiLevelType w:val="hybridMultilevel"/>
    <w:tmpl w:val="BE8A63E2"/>
    <w:lvl w:ilvl="0" w:tplc="35A66F92">
      <w:start w:val="7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32353C"/>
    <w:multiLevelType w:val="multilevel"/>
    <w:tmpl w:val="17F8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A7722"/>
    <w:multiLevelType w:val="hybridMultilevel"/>
    <w:tmpl w:val="E7FA0DE2"/>
    <w:lvl w:ilvl="0" w:tplc="CB8899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7"/>
  </w:num>
  <w:num w:numId="6">
    <w:abstractNumId w:val="8"/>
  </w:num>
  <w:num w:numId="7">
    <w:abstractNumId w:val="4"/>
  </w:num>
  <w:num w:numId="8">
    <w:abstractNumId w:val="3"/>
  </w:num>
  <w:num w:numId="9">
    <w:abstractNumId w:val="1"/>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Baumberg">
    <w15:presenceInfo w15:providerId="Windows Live" w15:userId="2a1f00819044b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Social Polic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att0094rr92mepzaexd2xzx29appesae0a&quot;&gt;Social Policy&lt;record-ids&gt;&lt;item&gt;168&lt;/item&gt;&lt;item&gt;202&lt;/item&gt;&lt;item&gt;207&lt;/item&gt;&lt;item&gt;209&lt;/item&gt;&lt;item&gt;211&lt;/item&gt;&lt;item&gt;213&lt;/item&gt;&lt;item&gt;215&lt;/item&gt;&lt;item&gt;219&lt;/item&gt;&lt;item&gt;220&lt;/item&gt;&lt;item&gt;221&lt;/item&gt;&lt;item&gt;224&lt;/item&gt;&lt;item&gt;225&lt;/item&gt;&lt;item&gt;260&lt;/item&gt;&lt;item&gt;266&lt;/item&gt;&lt;item&gt;267&lt;/item&gt;&lt;item&gt;268&lt;/item&gt;&lt;item&gt;277&lt;/item&gt;&lt;item&gt;280&lt;/item&gt;&lt;item&gt;281&lt;/item&gt;&lt;item&gt;285&lt;/item&gt;&lt;item&gt;288&lt;/item&gt;&lt;item&gt;356&lt;/item&gt;&lt;item&gt;362&lt;/item&gt;&lt;item&gt;363&lt;/item&gt;&lt;item&gt;367&lt;/item&gt;&lt;item&gt;376&lt;/item&gt;&lt;item&gt;394&lt;/item&gt;&lt;item&gt;411&lt;/item&gt;&lt;item&gt;415&lt;/item&gt;&lt;item&gt;467&lt;/item&gt;&lt;item&gt;519&lt;/item&gt;&lt;item&gt;521&lt;/item&gt;&lt;item&gt;522&lt;/item&gt;&lt;item&gt;523&lt;/item&gt;&lt;item&gt;526&lt;/item&gt;&lt;item&gt;528&lt;/item&gt;&lt;item&gt;531&lt;/item&gt;&lt;item&gt;539&lt;/item&gt;&lt;item&gt;540&lt;/item&gt;&lt;item&gt;541&lt;/item&gt;&lt;item&gt;543&lt;/item&gt;&lt;item&gt;544&lt;/item&gt;&lt;item&gt;549&lt;/item&gt;&lt;item&gt;551&lt;/item&gt;&lt;item&gt;552&lt;/item&gt;&lt;item&gt;555&lt;/item&gt;&lt;item&gt;576&lt;/item&gt;&lt;item&gt;577&lt;/item&gt;&lt;/record-ids&gt;&lt;/item&gt;&lt;/Libraries&gt;"/>
  </w:docVars>
  <w:rsids>
    <w:rsidRoot w:val="00901C82"/>
    <w:rsid w:val="00000C9D"/>
    <w:rsid w:val="0000193A"/>
    <w:rsid w:val="000034B6"/>
    <w:rsid w:val="00003BC4"/>
    <w:rsid w:val="00003C4B"/>
    <w:rsid w:val="00003CAD"/>
    <w:rsid w:val="00003FA4"/>
    <w:rsid w:val="00005AB8"/>
    <w:rsid w:val="00005B10"/>
    <w:rsid w:val="00006064"/>
    <w:rsid w:val="00006E42"/>
    <w:rsid w:val="00007512"/>
    <w:rsid w:val="00007876"/>
    <w:rsid w:val="00007E92"/>
    <w:rsid w:val="000103C8"/>
    <w:rsid w:val="000119FF"/>
    <w:rsid w:val="000123D4"/>
    <w:rsid w:val="000126D4"/>
    <w:rsid w:val="00012BB7"/>
    <w:rsid w:val="00012FA9"/>
    <w:rsid w:val="00013150"/>
    <w:rsid w:val="000136F5"/>
    <w:rsid w:val="00013742"/>
    <w:rsid w:val="00013B69"/>
    <w:rsid w:val="00013E1C"/>
    <w:rsid w:val="00013ED2"/>
    <w:rsid w:val="00014723"/>
    <w:rsid w:val="00015ACB"/>
    <w:rsid w:val="00016928"/>
    <w:rsid w:val="00016B30"/>
    <w:rsid w:val="00020A5C"/>
    <w:rsid w:val="00021CBF"/>
    <w:rsid w:val="00022FBB"/>
    <w:rsid w:val="00023E3A"/>
    <w:rsid w:val="00023FDF"/>
    <w:rsid w:val="000240EC"/>
    <w:rsid w:val="00024DED"/>
    <w:rsid w:val="0002552F"/>
    <w:rsid w:val="00025CBA"/>
    <w:rsid w:val="00030123"/>
    <w:rsid w:val="00030453"/>
    <w:rsid w:val="00031C61"/>
    <w:rsid w:val="0003226B"/>
    <w:rsid w:val="000322DE"/>
    <w:rsid w:val="00032417"/>
    <w:rsid w:val="000324A2"/>
    <w:rsid w:val="000324E9"/>
    <w:rsid w:val="00032E7A"/>
    <w:rsid w:val="0003320D"/>
    <w:rsid w:val="00033BF1"/>
    <w:rsid w:val="0003446F"/>
    <w:rsid w:val="000351D7"/>
    <w:rsid w:val="00035624"/>
    <w:rsid w:val="00036F56"/>
    <w:rsid w:val="0003743F"/>
    <w:rsid w:val="000401C6"/>
    <w:rsid w:val="00040672"/>
    <w:rsid w:val="000407F2"/>
    <w:rsid w:val="00041171"/>
    <w:rsid w:val="000421F9"/>
    <w:rsid w:val="00042475"/>
    <w:rsid w:val="0004315C"/>
    <w:rsid w:val="00044B5F"/>
    <w:rsid w:val="00045986"/>
    <w:rsid w:val="00045BD6"/>
    <w:rsid w:val="000461F6"/>
    <w:rsid w:val="00046677"/>
    <w:rsid w:val="00046806"/>
    <w:rsid w:val="00046A92"/>
    <w:rsid w:val="00046E53"/>
    <w:rsid w:val="00047328"/>
    <w:rsid w:val="00047548"/>
    <w:rsid w:val="00050C05"/>
    <w:rsid w:val="00050E83"/>
    <w:rsid w:val="0005104D"/>
    <w:rsid w:val="0005111E"/>
    <w:rsid w:val="0005155B"/>
    <w:rsid w:val="0005245F"/>
    <w:rsid w:val="00052BBE"/>
    <w:rsid w:val="00052E8A"/>
    <w:rsid w:val="00053E5E"/>
    <w:rsid w:val="000543E5"/>
    <w:rsid w:val="000558EA"/>
    <w:rsid w:val="000569B2"/>
    <w:rsid w:val="00057666"/>
    <w:rsid w:val="00057822"/>
    <w:rsid w:val="0006004F"/>
    <w:rsid w:val="00060284"/>
    <w:rsid w:val="00060CCA"/>
    <w:rsid w:val="000632C1"/>
    <w:rsid w:val="0006394C"/>
    <w:rsid w:val="00063F61"/>
    <w:rsid w:val="00064E28"/>
    <w:rsid w:val="00064F5B"/>
    <w:rsid w:val="000658E2"/>
    <w:rsid w:val="000664D1"/>
    <w:rsid w:val="000703E2"/>
    <w:rsid w:val="00070A2B"/>
    <w:rsid w:val="00070A2C"/>
    <w:rsid w:val="000736FD"/>
    <w:rsid w:val="00073AA6"/>
    <w:rsid w:val="00073B33"/>
    <w:rsid w:val="00074745"/>
    <w:rsid w:val="00074A87"/>
    <w:rsid w:val="00074CF2"/>
    <w:rsid w:val="000758F2"/>
    <w:rsid w:val="0007635E"/>
    <w:rsid w:val="00076393"/>
    <w:rsid w:val="0007686E"/>
    <w:rsid w:val="00076AF7"/>
    <w:rsid w:val="0007713A"/>
    <w:rsid w:val="00080BEB"/>
    <w:rsid w:val="000817C4"/>
    <w:rsid w:val="00081A56"/>
    <w:rsid w:val="00082154"/>
    <w:rsid w:val="00082D0D"/>
    <w:rsid w:val="00083E1C"/>
    <w:rsid w:val="000844EF"/>
    <w:rsid w:val="00084FD2"/>
    <w:rsid w:val="00084FE9"/>
    <w:rsid w:val="00085308"/>
    <w:rsid w:val="00085626"/>
    <w:rsid w:val="00085F92"/>
    <w:rsid w:val="00087084"/>
    <w:rsid w:val="00087201"/>
    <w:rsid w:val="00087547"/>
    <w:rsid w:val="00087933"/>
    <w:rsid w:val="00090315"/>
    <w:rsid w:val="00090550"/>
    <w:rsid w:val="00091BA6"/>
    <w:rsid w:val="0009344A"/>
    <w:rsid w:val="0009592F"/>
    <w:rsid w:val="00095C56"/>
    <w:rsid w:val="00096090"/>
    <w:rsid w:val="00096176"/>
    <w:rsid w:val="00096880"/>
    <w:rsid w:val="00096944"/>
    <w:rsid w:val="000A0741"/>
    <w:rsid w:val="000A0C05"/>
    <w:rsid w:val="000A1044"/>
    <w:rsid w:val="000A11EC"/>
    <w:rsid w:val="000A22BC"/>
    <w:rsid w:val="000A2750"/>
    <w:rsid w:val="000A2E5A"/>
    <w:rsid w:val="000A307A"/>
    <w:rsid w:val="000A4907"/>
    <w:rsid w:val="000A5641"/>
    <w:rsid w:val="000A5ACB"/>
    <w:rsid w:val="000A5B95"/>
    <w:rsid w:val="000A62BE"/>
    <w:rsid w:val="000A6512"/>
    <w:rsid w:val="000A6839"/>
    <w:rsid w:val="000A78BC"/>
    <w:rsid w:val="000B05EE"/>
    <w:rsid w:val="000B13D5"/>
    <w:rsid w:val="000B210E"/>
    <w:rsid w:val="000B26C7"/>
    <w:rsid w:val="000B2DC7"/>
    <w:rsid w:val="000B36A3"/>
    <w:rsid w:val="000B3F5A"/>
    <w:rsid w:val="000B5431"/>
    <w:rsid w:val="000B6493"/>
    <w:rsid w:val="000C0290"/>
    <w:rsid w:val="000C10E1"/>
    <w:rsid w:val="000C2350"/>
    <w:rsid w:val="000C2507"/>
    <w:rsid w:val="000C2987"/>
    <w:rsid w:val="000C3515"/>
    <w:rsid w:val="000C36C5"/>
    <w:rsid w:val="000C3740"/>
    <w:rsid w:val="000C43D8"/>
    <w:rsid w:val="000C4425"/>
    <w:rsid w:val="000C48CA"/>
    <w:rsid w:val="000C4A54"/>
    <w:rsid w:val="000C4D6B"/>
    <w:rsid w:val="000C70E8"/>
    <w:rsid w:val="000C7C01"/>
    <w:rsid w:val="000D0840"/>
    <w:rsid w:val="000D2A2D"/>
    <w:rsid w:val="000D2C29"/>
    <w:rsid w:val="000D325D"/>
    <w:rsid w:val="000D3591"/>
    <w:rsid w:val="000D4292"/>
    <w:rsid w:val="000D69D4"/>
    <w:rsid w:val="000D7483"/>
    <w:rsid w:val="000D79AE"/>
    <w:rsid w:val="000D7CBF"/>
    <w:rsid w:val="000E0E74"/>
    <w:rsid w:val="000E180F"/>
    <w:rsid w:val="000E2121"/>
    <w:rsid w:val="000E33DE"/>
    <w:rsid w:val="000E372A"/>
    <w:rsid w:val="000E3FB6"/>
    <w:rsid w:val="000E49EB"/>
    <w:rsid w:val="000E4ABA"/>
    <w:rsid w:val="000E5DE0"/>
    <w:rsid w:val="000E7E5F"/>
    <w:rsid w:val="000E7E86"/>
    <w:rsid w:val="000F098C"/>
    <w:rsid w:val="000F185F"/>
    <w:rsid w:val="000F20C8"/>
    <w:rsid w:val="000F255A"/>
    <w:rsid w:val="000F36F5"/>
    <w:rsid w:val="000F372F"/>
    <w:rsid w:val="000F391B"/>
    <w:rsid w:val="000F3D2A"/>
    <w:rsid w:val="000F4AE9"/>
    <w:rsid w:val="000F5839"/>
    <w:rsid w:val="000F585C"/>
    <w:rsid w:val="000F589C"/>
    <w:rsid w:val="000F6943"/>
    <w:rsid w:val="000F7175"/>
    <w:rsid w:val="000F7299"/>
    <w:rsid w:val="000F7AF5"/>
    <w:rsid w:val="000F7BD9"/>
    <w:rsid w:val="00100959"/>
    <w:rsid w:val="001012DB"/>
    <w:rsid w:val="00101449"/>
    <w:rsid w:val="00101485"/>
    <w:rsid w:val="00101523"/>
    <w:rsid w:val="001023EA"/>
    <w:rsid w:val="001027B1"/>
    <w:rsid w:val="00103038"/>
    <w:rsid w:val="00103539"/>
    <w:rsid w:val="00103ACB"/>
    <w:rsid w:val="001043BD"/>
    <w:rsid w:val="001046BA"/>
    <w:rsid w:val="00105C84"/>
    <w:rsid w:val="001062F4"/>
    <w:rsid w:val="001063AC"/>
    <w:rsid w:val="001064D7"/>
    <w:rsid w:val="00106619"/>
    <w:rsid w:val="001069AD"/>
    <w:rsid w:val="0010714D"/>
    <w:rsid w:val="00107416"/>
    <w:rsid w:val="0010743E"/>
    <w:rsid w:val="00107991"/>
    <w:rsid w:val="0011057E"/>
    <w:rsid w:val="00111516"/>
    <w:rsid w:val="00111684"/>
    <w:rsid w:val="001118C4"/>
    <w:rsid w:val="00111EF0"/>
    <w:rsid w:val="001155FA"/>
    <w:rsid w:val="0011694F"/>
    <w:rsid w:val="00116B52"/>
    <w:rsid w:val="00117089"/>
    <w:rsid w:val="00117DE4"/>
    <w:rsid w:val="00120A43"/>
    <w:rsid w:val="00120BB4"/>
    <w:rsid w:val="00123BEC"/>
    <w:rsid w:val="001241C4"/>
    <w:rsid w:val="00124954"/>
    <w:rsid w:val="0012713C"/>
    <w:rsid w:val="00127581"/>
    <w:rsid w:val="001275F8"/>
    <w:rsid w:val="00130C41"/>
    <w:rsid w:val="001316BF"/>
    <w:rsid w:val="0013174C"/>
    <w:rsid w:val="0013209A"/>
    <w:rsid w:val="0013248D"/>
    <w:rsid w:val="00132921"/>
    <w:rsid w:val="001333BE"/>
    <w:rsid w:val="001337A3"/>
    <w:rsid w:val="00133B74"/>
    <w:rsid w:val="00134591"/>
    <w:rsid w:val="0013475D"/>
    <w:rsid w:val="001354BA"/>
    <w:rsid w:val="0013681B"/>
    <w:rsid w:val="0013753C"/>
    <w:rsid w:val="0013763E"/>
    <w:rsid w:val="00137A19"/>
    <w:rsid w:val="001428A8"/>
    <w:rsid w:val="00142C14"/>
    <w:rsid w:val="00142FCC"/>
    <w:rsid w:val="00143E69"/>
    <w:rsid w:val="00144F57"/>
    <w:rsid w:val="001466E7"/>
    <w:rsid w:val="00147F5F"/>
    <w:rsid w:val="00150429"/>
    <w:rsid w:val="00151A19"/>
    <w:rsid w:val="00151AA3"/>
    <w:rsid w:val="00152FA4"/>
    <w:rsid w:val="00153F11"/>
    <w:rsid w:val="001549FB"/>
    <w:rsid w:val="00157315"/>
    <w:rsid w:val="00157C8F"/>
    <w:rsid w:val="00161C5B"/>
    <w:rsid w:val="00163AAE"/>
    <w:rsid w:val="00164402"/>
    <w:rsid w:val="0016444C"/>
    <w:rsid w:val="00164908"/>
    <w:rsid w:val="00164FDA"/>
    <w:rsid w:val="001650CB"/>
    <w:rsid w:val="00165B96"/>
    <w:rsid w:val="001662C0"/>
    <w:rsid w:val="00166BC5"/>
    <w:rsid w:val="001670CB"/>
    <w:rsid w:val="001672B7"/>
    <w:rsid w:val="00167B31"/>
    <w:rsid w:val="00170597"/>
    <w:rsid w:val="001709E2"/>
    <w:rsid w:val="001713A3"/>
    <w:rsid w:val="001721CB"/>
    <w:rsid w:val="00172C4A"/>
    <w:rsid w:val="00172E66"/>
    <w:rsid w:val="00173557"/>
    <w:rsid w:val="00173E9F"/>
    <w:rsid w:val="00174698"/>
    <w:rsid w:val="00174E0E"/>
    <w:rsid w:val="00175107"/>
    <w:rsid w:val="00176166"/>
    <w:rsid w:val="001762E6"/>
    <w:rsid w:val="001769FE"/>
    <w:rsid w:val="00176D91"/>
    <w:rsid w:val="00176E65"/>
    <w:rsid w:val="00176EE0"/>
    <w:rsid w:val="00176EF5"/>
    <w:rsid w:val="00180517"/>
    <w:rsid w:val="00181058"/>
    <w:rsid w:val="001813C5"/>
    <w:rsid w:val="0018145C"/>
    <w:rsid w:val="001814F6"/>
    <w:rsid w:val="00181C4C"/>
    <w:rsid w:val="0018261B"/>
    <w:rsid w:val="00182C62"/>
    <w:rsid w:val="00183432"/>
    <w:rsid w:val="00184A5A"/>
    <w:rsid w:val="001855A4"/>
    <w:rsid w:val="001869CE"/>
    <w:rsid w:val="00186B20"/>
    <w:rsid w:val="00187829"/>
    <w:rsid w:val="0019023E"/>
    <w:rsid w:val="00190E2A"/>
    <w:rsid w:val="00191B4B"/>
    <w:rsid w:val="00191B89"/>
    <w:rsid w:val="00192661"/>
    <w:rsid w:val="00192664"/>
    <w:rsid w:val="00192FBC"/>
    <w:rsid w:val="00193593"/>
    <w:rsid w:val="0019366D"/>
    <w:rsid w:val="001944BD"/>
    <w:rsid w:val="00194755"/>
    <w:rsid w:val="00194B7D"/>
    <w:rsid w:val="0019551B"/>
    <w:rsid w:val="001957CB"/>
    <w:rsid w:val="001970C6"/>
    <w:rsid w:val="001A05B6"/>
    <w:rsid w:val="001A0D0C"/>
    <w:rsid w:val="001A22CD"/>
    <w:rsid w:val="001A32B2"/>
    <w:rsid w:val="001A45DC"/>
    <w:rsid w:val="001A4A85"/>
    <w:rsid w:val="001A53D1"/>
    <w:rsid w:val="001A5932"/>
    <w:rsid w:val="001A7983"/>
    <w:rsid w:val="001A7FCF"/>
    <w:rsid w:val="001B0B7F"/>
    <w:rsid w:val="001B14D1"/>
    <w:rsid w:val="001B16FB"/>
    <w:rsid w:val="001B178E"/>
    <w:rsid w:val="001B24AB"/>
    <w:rsid w:val="001B2CBD"/>
    <w:rsid w:val="001B2EF6"/>
    <w:rsid w:val="001B3CA4"/>
    <w:rsid w:val="001B44FB"/>
    <w:rsid w:val="001B7102"/>
    <w:rsid w:val="001B7C1E"/>
    <w:rsid w:val="001C0C2A"/>
    <w:rsid w:val="001C12F2"/>
    <w:rsid w:val="001C2147"/>
    <w:rsid w:val="001C2761"/>
    <w:rsid w:val="001C374D"/>
    <w:rsid w:val="001C5077"/>
    <w:rsid w:val="001C51E6"/>
    <w:rsid w:val="001C63B0"/>
    <w:rsid w:val="001C6C8B"/>
    <w:rsid w:val="001C6F43"/>
    <w:rsid w:val="001D0F43"/>
    <w:rsid w:val="001D1480"/>
    <w:rsid w:val="001D14BC"/>
    <w:rsid w:val="001D174A"/>
    <w:rsid w:val="001D18D4"/>
    <w:rsid w:val="001D1D2C"/>
    <w:rsid w:val="001D1EA3"/>
    <w:rsid w:val="001D3183"/>
    <w:rsid w:val="001D3A35"/>
    <w:rsid w:val="001D3A8D"/>
    <w:rsid w:val="001D5838"/>
    <w:rsid w:val="001D5CBB"/>
    <w:rsid w:val="001D704C"/>
    <w:rsid w:val="001D7080"/>
    <w:rsid w:val="001E0327"/>
    <w:rsid w:val="001E0897"/>
    <w:rsid w:val="001E10D8"/>
    <w:rsid w:val="001E1B15"/>
    <w:rsid w:val="001E315F"/>
    <w:rsid w:val="001E367B"/>
    <w:rsid w:val="001E4840"/>
    <w:rsid w:val="001E541F"/>
    <w:rsid w:val="001E55DD"/>
    <w:rsid w:val="001E6398"/>
    <w:rsid w:val="001E68F9"/>
    <w:rsid w:val="001E79E6"/>
    <w:rsid w:val="001E7B62"/>
    <w:rsid w:val="001F0968"/>
    <w:rsid w:val="001F1147"/>
    <w:rsid w:val="001F142C"/>
    <w:rsid w:val="001F1AC6"/>
    <w:rsid w:val="001F28E6"/>
    <w:rsid w:val="001F2F08"/>
    <w:rsid w:val="001F45C9"/>
    <w:rsid w:val="001F507C"/>
    <w:rsid w:val="001F5938"/>
    <w:rsid w:val="001F6DCC"/>
    <w:rsid w:val="001F7D38"/>
    <w:rsid w:val="00200A8D"/>
    <w:rsid w:val="0020126A"/>
    <w:rsid w:val="00201B76"/>
    <w:rsid w:val="00201F9A"/>
    <w:rsid w:val="0020345A"/>
    <w:rsid w:val="002046A6"/>
    <w:rsid w:val="0020577C"/>
    <w:rsid w:val="002103DB"/>
    <w:rsid w:val="0021046A"/>
    <w:rsid w:val="002105BD"/>
    <w:rsid w:val="002106FD"/>
    <w:rsid w:val="00211F75"/>
    <w:rsid w:val="002124FC"/>
    <w:rsid w:val="00216E12"/>
    <w:rsid w:val="00220FAC"/>
    <w:rsid w:val="0022146D"/>
    <w:rsid w:val="002214B5"/>
    <w:rsid w:val="00221B31"/>
    <w:rsid w:val="00221C06"/>
    <w:rsid w:val="002220EE"/>
    <w:rsid w:val="002225EE"/>
    <w:rsid w:val="00222CBB"/>
    <w:rsid w:val="00224EA3"/>
    <w:rsid w:val="00226AFE"/>
    <w:rsid w:val="00226C78"/>
    <w:rsid w:val="00226D5F"/>
    <w:rsid w:val="00230960"/>
    <w:rsid w:val="002312AB"/>
    <w:rsid w:val="002320FC"/>
    <w:rsid w:val="0023376C"/>
    <w:rsid w:val="002337D2"/>
    <w:rsid w:val="00233883"/>
    <w:rsid w:val="00234B8B"/>
    <w:rsid w:val="00234E7C"/>
    <w:rsid w:val="00235AA8"/>
    <w:rsid w:val="00235AF7"/>
    <w:rsid w:val="00236513"/>
    <w:rsid w:val="00236FAE"/>
    <w:rsid w:val="002372A1"/>
    <w:rsid w:val="00237447"/>
    <w:rsid w:val="002377A1"/>
    <w:rsid w:val="00237F48"/>
    <w:rsid w:val="0024044F"/>
    <w:rsid w:val="00240FCD"/>
    <w:rsid w:val="002423D2"/>
    <w:rsid w:val="00242C62"/>
    <w:rsid w:val="00242DC2"/>
    <w:rsid w:val="00242EB9"/>
    <w:rsid w:val="00243D9C"/>
    <w:rsid w:val="00244505"/>
    <w:rsid w:val="0024598A"/>
    <w:rsid w:val="0024719E"/>
    <w:rsid w:val="00247E75"/>
    <w:rsid w:val="0025087E"/>
    <w:rsid w:val="0025108F"/>
    <w:rsid w:val="00251149"/>
    <w:rsid w:val="002511DD"/>
    <w:rsid w:val="0025156F"/>
    <w:rsid w:val="0025169C"/>
    <w:rsid w:val="00251E8E"/>
    <w:rsid w:val="00252974"/>
    <w:rsid w:val="00252D1A"/>
    <w:rsid w:val="002530E5"/>
    <w:rsid w:val="00253B3A"/>
    <w:rsid w:val="002541B0"/>
    <w:rsid w:val="00254379"/>
    <w:rsid w:val="002543CC"/>
    <w:rsid w:val="0025445A"/>
    <w:rsid w:val="0025489D"/>
    <w:rsid w:val="0025545C"/>
    <w:rsid w:val="00255B14"/>
    <w:rsid w:val="0025601A"/>
    <w:rsid w:val="0025661C"/>
    <w:rsid w:val="00256970"/>
    <w:rsid w:val="00260948"/>
    <w:rsid w:val="00260C34"/>
    <w:rsid w:val="00261CB3"/>
    <w:rsid w:val="0026242B"/>
    <w:rsid w:val="00263951"/>
    <w:rsid w:val="00263C21"/>
    <w:rsid w:val="0026432B"/>
    <w:rsid w:val="002648A5"/>
    <w:rsid w:val="002668D6"/>
    <w:rsid w:val="002678F2"/>
    <w:rsid w:val="00267C09"/>
    <w:rsid w:val="00271010"/>
    <w:rsid w:val="00272128"/>
    <w:rsid w:val="002724A2"/>
    <w:rsid w:val="00272522"/>
    <w:rsid w:val="00272F4A"/>
    <w:rsid w:val="0027387A"/>
    <w:rsid w:val="002770D8"/>
    <w:rsid w:val="00277890"/>
    <w:rsid w:val="0028051B"/>
    <w:rsid w:val="002810F3"/>
    <w:rsid w:val="00281600"/>
    <w:rsid w:val="00281BF8"/>
    <w:rsid w:val="00282393"/>
    <w:rsid w:val="00282623"/>
    <w:rsid w:val="00283542"/>
    <w:rsid w:val="00285171"/>
    <w:rsid w:val="00285A91"/>
    <w:rsid w:val="002869B7"/>
    <w:rsid w:val="00290705"/>
    <w:rsid w:val="00290EA9"/>
    <w:rsid w:val="002913E3"/>
    <w:rsid w:val="00291DEC"/>
    <w:rsid w:val="00292DB2"/>
    <w:rsid w:val="0029385A"/>
    <w:rsid w:val="002942E2"/>
    <w:rsid w:val="00294DBC"/>
    <w:rsid w:val="00295827"/>
    <w:rsid w:val="00297A63"/>
    <w:rsid w:val="002A0DC9"/>
    <w:rsid w:val="002A1C9F"/>
    <w:rsid w:val="002A229E"/>
    <w:rsid w:val="002A334E"/>
    <w:rsid w:val="002A3378"/>
    <w:rsid w:val="002A3A2C"/>
    <w:rsid w:val="002A3F47"/>
    <w:rsid w:val="002A45D6"/>
    <w:rsid w:val="002A49CD"/>
    <w:rsid w:val="002A5E00"/>
    <w:rsid w:val="002A6B74"/>
    <w:rsid w:val="002A6F6D"/>
    <w:rsid w:val="002A735A"/>
    <w:rsid w:val="002A77D7"/>
    <w:rsid w:val="002A7D6D"/>
    <w:rsid w:val="002B02D7"/>
    <w:rsid w:val="002B1072"/>
    <w:rsid w:val="002B1945"/>
    <w:rsid w:val="002B388C"/>
    <w:rsid w:val="002B4566"/>
    <w:rsid w:val="002B503E"/>
    <w:rsid w:val="002B51BE"/>
    <w:rsid w:val="002B61F9"/>
    <w:rsid w:val="002B663B"/>
    <w:rsid w:val="002B7C15"/>
    <w:rsid w:val="002C04C9"/>
    <w:rsid w:val="002C0721"/>
    <w:rsid w:val="002C0833"/>
    <w:rsid w:val="002C0B3B"/>
    <w:rsid w:val="002C0E7C"/>
    <w:rsid w:val="002C17F8"/>
    <w:rsid w:val="002C2642"/>
    <w:rsid w:val="002C287B"/>
    <w:rsid w:val="002C2A9A"/>
    <w:rsid w:val="002C3E36"/>
    <w:rsid w:val="002C4A79"/>
    <w:rsid w:val="002C4B98"/>
    <w:rsid w:val="002C4DE0"/>
    <w:rsid w:val="002C50D0"/>
    <w:rsid w:val="002C51B7"/>
    <w:rsid w:val="002C5EA6"/>
    <w:rsid w:val="002C665C"/>
    <w:rsid w:val="002C77DC"/>
    <w:rsid w:val="002C78AA"/>
    <w:rsid w:val="002C78B4"/>
    <w:rsid w:val="002D0016"/>
    <w:rsid w:val="002D12A0"/>
    <w:rsid w:val="002D173F"/>
    <w:rsid w:val="002D1950"/>
    <w:rsid w:val="002D2612"/>
    <w:rsid w:val="002D3609"/>
    <w:rsid w:val="002D363C"/>
    <w:rsid w:val="002D3AD2"/>
    <w:rsid w:val="002D4240"/>
    <w:rsid w:val="002D5100"/>
    <w:rsid w:val="002D5D87"/>
    <w:rsid w:val="002D6284"/>
    <w:rsid w:val="002D67F5"/>
    <w:rsid w:val="002D74EC"/>
    <w:rsid w:val="002E0818"/>
    <w:rsid w:val="002E0FE4"/>
    <w:rsid w:val="002E102A"/>
    <w:rsid w:val="002E1789"/>
    <w:rsid w:val="002E2375"/>
    <w:rsid w:val="002E3738"/>
    <w:rsid w:val="002E4916"/>
    <w:rsid w:val="002E4EE8"/>
    <w:rsid w:val="002E52DB"/>
    <w:rsid w:val="002E64EC"/>
    <w:rsid w:val="002E677F"/>
    <w:rsid w:val="002E6CEA"/>
    <w:rsid w:val="002E6E9F"/>
    <w:rsid w:val="002E7AAC"/>
    <w:rsid w:val="002E7DBB"/>
    <w:rsid w:val="002E7EA7"/>
    <w:rsid w:val="002E7F1E"/>
    <w:rsid w:val="002F089C"/>
    <w:rsid w:val="002F13B1"/>
    <w:rsid w:val="002F2701"/>
    <w:rsid w:val="002F2923"/>
    <w:rsid w:val="002F2B36"/>
    <w:rsid w:val="002F566B"/>
    <w:rsid w:val="002F5789"/>
    <w:rsid w:val="002F5A87"/>
    <w:rsid w:val="002F5C55"/>
    <w:rsid w:val="002F6954"/>
    <w:rsid w:val="003008C5"/>
    <w:rsid w:val="00300E32"/>
    <w:rsid w:val="003018F2"/>
    <w:rsid w:val="003019AC"/>
    <w:rsid w:val="0030277B"/>
    <w:rsid w:val="00302EF2"/>
    <w:rsid w:val="00303F21"/>
    <w:rsid w:val="003040DE"/>
    <w:rsid w:val="003044D9"/>
    <w:rsid w:val="003048B1"/>
    <w:rsid w:val="00306898"/>
    <w:rsid w:val="00307291"/>
    <w:rsid w:val="00307475"/>
    <w:rsid w:val="003110F0"/>
    <w:rsid w:val="00311FAE"/>
    <w:rsid w:val="003121B4"/>
    <w:rsid w:val="00312851"/>
    <w:rsid w:val="003141E8"/>
    <w:rsid w:val="00315423"/>
    <w:rsid w:val="003159BA"/>
    <w:rsid w:val="00316415"/>
    <w:rsid w:val="00316422"/>
    <w:rsid w:val="003200E6"/>
    <w:rsid w:val="003201CE"/>
    <w:rsid w:val="003207CD"/>
    <w:rsid w:val="0032091F"/>
    <w:rsid w:val="003223A0"/>
    <w:rsid w:val="00323F45"/>
    <w:rsid w:val="0032450A"/>
    <w:rsid w:val="003256E5"/>
    <w:rsid w:val="003261A5"/>
    <w:rsid w:val="00326CBE"/>
    <w:rsid w:val="0033000B"/>
    <w:rsid w:val="00330353"/>
    <w:rsid w:val="003310B9"/>
    <w:rsid w:val="0033182A"/>
    <w:rsid w:val="00332200"/>
    <w:rsid w:val="00333A9E"/>
    <w:rsid w:val="00334F82"/>
    <w:rsid w:val="003359A1"/>
    <w:rsid w:val="00336263"/>
    <w:rsid w:val="003368E7"/>
    <w:rsid w:val="00337241"/>
    <w:rsid w:val="003373F7"/>
    <w:rsid w:val="00337894"/>
    <w:rsid w:val="003379BC"/>
    <w:rsid w:val="00341044"/>
    <w:rsid w:val="00342042"/>
    <w:rsid w:val="00343451"/>
    <w:rsid w:val="00343C8B"/>
    <w:rsid w:val="00343CFF"/>
    <w:rsid w:val="00343D97"/>
    <w:rsid w:val="00343FA1"/>
    <w:rsid w:val="00344DD9"/>
    <w:rsid w:val="00345913"/>
    <w:rsid w:val="00346202"/>
    <w:rsid w:val="00347C27"/>
    <w:rsid w:val="00351007"/>
    <w:rsid w:val="0035155B"/>
    <w:rsid w:val="00351D5E"/>
    <w:rsid w:val="003522D0"/>
    <w:rsid w:val="003526D1"/>
    <w:rsid w:val="003528E0"/>
    <w:rsid w:val="00353159"/>
    <w:rsid w:val="00353C32"/>
    <w:rsid w:val="00353E39"/>
    <w:rsid w:val="003552DE"/>
    <w:rsid w:val="00356163"/>
    <w:rsid w:val="0035630D"/>
    <w:rsid w:val="0035727E"/>
    <w:rsid w:val="00360DFF"/>
    <w:rsid w:val="003612B3"/>
    <w:rsid w:val="003612F0"/>
    <w:rsid w:val="0036156A"/>
    <w:rsid w:val="00365358"/>
    <w:rsid w:val="00365579"/>
    <w:rsid w:val="00367758"/>
    <w:rsid w:val="00370461"/>
    <w:rsid w:val="0037051C"/>
    <w:rsid w:val="00370BD9"/>
    <w:rsid w:val="00371B61"/>
    <w:rsid w:val="0037470D"/>
    <w:rsid w:val="00374BE3"/>
    <w:rsid w:val="003764D5"/>
    <w:rsid w:val="003768E9"/>
    <w:rsid w:val="003768FB"/>
    <w:rsid w:val="00376B29"/>
    <w:rsid w:val="00377E6D"/>
    <w:rsid w:val="00377E87"/>
    <w:rsid w:val="00380143"/>
    <w:rsid w:val="00380D9C"/>
    <w:rsid w:val="003816B8"/>
    <w:rsid w:val="003824D3"/>
    <w:rsid w:val="00382938"/>
    <w:rsid w:val="00383A6C"/>
    <w:rsid w:val="00384432"/>
    <w:rsid w:val="00384A52"/>
    <w:rsid w:val="00384F66"/>
    <w:rsid w:val="00385DC4"/>
    <w:rsid w:val="00386FAF"/>
    <w:rsid w:val="003873F4"/>
    <w:rsid w:val="0039086C"/>
    <w:rsid w:val="00390906"/>
    <w:rsid w:val="003916E2"/>
    <w:rsid w:val="00391792"/>
    <w:rsid w:val="00391B20"/>
    <w:rsid w:val="00392247"/>
    <w:rsid w:val="00392386"/>
    <w:rsid w:val="00392A81"/>
    <w:rsid w:val="00392CB2"/>
    <w:rsid w:val="00392F61"/>
    <w:rsid w:val="00393023"/>
    <w:rsid w:val="00393605"/>
    <w:rsid w:val="0039473A"/>
    <w:rsid w:val="00394E1E"/>
    <w:rsid w:val="00395521"/>
    <w:rsid w:val="00396A8F"/>
    <w:rsid w:val="00396E4B"/>
    <w:rsid w:val="003A04EC"/>
    <w:rsid w:val="003A1697"/>
    <w:rsid w:val="003A1AB3"/>
    <w:rsid w:val="003A634B"/>
    <w:rsid w:val="003A6A0E"/>
    <w:rsid w:val="003A794F"/>
    <w:rsid w:val="003B0AAD"/>
    <w:rsid w:val="003B0FA1"/>
    <w:rsid w:val="003B236A"/>
    <w:rsid w:val="003B2F9C"/>
    <w:rsid w:val="003B4030"/>
    <w:rsid w:val="003B5515"/>
    <w:rsid w:val="003B64F4"/>
    <w:rsid w:val="003B6CF8"/>
    <w:rsid w:val="003B7427"/>
    <w:rsid w:val="003C133E"/>
    <w:rsid w:val="003C1E6D"/>
    <w:rsid w:val="003C2217"/>
    <w:rsid w:val="003C234E"/>
    <w:rsid w:val="003C3108"/>
    <w:rsid w:val="003C4224"/>
    <w:rsid w:val="003C662F"/>
    <w:rsid w:val="003C754C"/>
    <w:rsid w:val="003D0C1F"/>
    <w:rsid w:val="003D0FB8"/>
    <w:rsid w:val="003D135B"/>
    <w:rsid w:val="003D15A5"/>
    <w:rsid w:val="003D47A3"/>
    <w:rsid w:val="003D526F"/>
    <w:rsid w:val="003D5747"/>
    <w:rsid w:val="003D58CB"/>
    <w:rsid w:val="003D5938"/>
    <w:rsid w:val="003D5C8B"/>
    <w:rsid w:val="003D5C8F"/>
    <w:rsid w:val="003D5FAC"/>
    <w:rsid w:val="003D63FB"/>
    <w:rsid w:val="003D68E0"/>
    <w:rsid w:val="003D7575"/>
    <w:rsid w:val="003D7584"/>
    <w:rsid w:val="003E0811"/>
    <w:rsid w:val="003E082D"/>
    <w:rsid w:val="003E1258"/>
    <w:rsid w:val="003E25BA"/>
    <w:rsid w:val="003E38A5"/>
    <w:rsid w:val="003E466D"/>
    <w:rsid w:val="003E4FDA"/>
    <w:rsid w:val="003E5306"/>
    <w:rsid w:val="003E554D"/>
    <w:rsid w:val="003E7AAD"/>
    <w:rsid w:val="003F07B4"/>
    <w:rsid w:val="003F1123"/>
    <w:rsid w:val="003F19AA"/>
    <w:rsid w:val="003F2311"/>
    <w:rsid w:val="003F2CC9"/>
    <w:rsid w:val="003F399A"/>
    <w:rsid w:val="003F3CD0"/>
    <w:rsid w:val="003F3D66"/>
    <w:rsid w:val="003F3FA5"/>
    <w:rsid w:val="003F4915"/>
    <w:rsid w:val="003F4E92"/>
    <w:rsid w:val="003F509A"/>
    <w:rsid w:val="003F5809"/>
    <w:rsid w:val="003F5BFA"/>
    <w:rsid w:val="003F64C4"/>
    <w:rsid w:val="003F6A64"/>
    <w:rsid w:val="003F6F4C"/>
    <w:rsid w:val="003F7740"/>
    <w:rsid w:val="003F7A2C"/>
    <w:rsid w:val="00400988"/>
    <w:rsid w:val="004009A0"/>
    <w:rsid w:val="00401B61"/>
    <w:rsid w:val="00403173"/>
    <w:rsid w:val="00403343"/>
    <w:rsid w:val="00403B95"/>
    <w:rsid w:val="0040400C"/>
    <w:rsid w:val="004045C6"/>
    <w:rsid w:val="00404BBF"/>
    <w:rsid w:val="00405694"/>
    <w:rsid w:val="0040645F"/>
    <w:rsid w:val="004070A8"/>
    <w:rsid w:val="004078A0"/>
    <w:rsid w:val="00407DA3"/>
    <w:rsid w:val="00410918"/>
    <w:rsid w:val="00410BDF"/>
    <w:rsid w:val="00411009"/>
    <w:rsid w:val="004112F7"/>
    <w:rsid w:val="00411762"/>
    <w:rsid w:val="00411E06"/>
    <w:rsid w:val="004134B5"/>
    <w:rsid w:val="00413B24"/>
    <w:rsid w:val="00414438"/>
    <w:rsid w:val="0041485B"/>
    <w:rsid w:val="00415AF0"/>
    <w:rsid w:val="00415EE7"/>
    <w:rsid w:val="00420D74"/>
    <w:rsid w:val="00420E31"/>
    <w:rsid w:val="00421443"/>
    <w:rsid w:val="00421B63"/>
    <w:rsid w:val="004227BA"/>
    <w:rsid w:val="00422A18"/>
    <w:rsid w:val="00422C87"/>
    <w:rsid w:val="00423ADC"/>
    <w:rsid w:val="00424028"/>
    <w:rsid w:val="0042423E"/>
    <w:rsid w:val="0042451A"/>
    <w:rsid w:val="004246E8"/>
    <w:rsid w:val="00424724"/>
    <w:rsid w:val="00425171"/>
    <w:rsid w:val="00425880"/>
    <w:rsid w:val="00425B0E"/>
    <w:rsid w:val="004264A6"/>
    <w:rsid w:val="00426AC0"/>
    <w:rsid w:val="00426B28"/>
    <w:rsid w:val="00430EAB"/>
    <w:rsid w:val="00431056"/>
    <w:rsid w:val="00431163"/>
    <w:rsid w:val="004315D6"/>
    <w:rsid w:val="00431EDA"/>
    <w:rsid w:val="004323DE"/>
    <w:rsid w:val="00432747"/>
    <w:rsid w:val="00432AF4"/>
    <w:rsid w:val="00432D0A"/>
    <w:rsid w:val="00432EB5"/>
    <w:rsid w:val="004343E9"/>
    <w:rsid w:val="00434920"/>
    <w:rsid w:val="00434A4F"/>
    <w:rsid w:val="00435016"/>
    <w:rsid w:val="00435BE7"/>
    <w:rsid w:val="00436821"/>
    <w:rsid w:val="0043776A"/>
    <w:rsid w:val="004401BC"/>
    <w:rsid w:val="004407D4"/>
    <w:rsid w:val="004416EF"/>
    <w:rsid w:val="00442078"/>
    <w:rsid w:val="00443285"/>
    <w:rsid w:val="00443845"/>
    <w:rsid w:val="004441F6"/>
    <w:rsid w:val="004445D5"/>
    <w:rsid w:val="00444BC6"/>
    <w:rsid w:val="00444F32"/>
    <w:rsid w:val="00445DE5"/>
    <w:rsid w:val="0044697E"/>
    <w:rsid w:val="00450B23"/>
    <w:rsid w:val="00453F11"/>
    <w:rsid w:val="00454483"/>
    <w:rsid w:val="00454E8E"/>
    <w:rsid w:val="00454EEA"/>
    <w:rsid w:val="0045523A"/>
    <w:rsid w:val="00455A2D"/>
    <w:rsid w:val="00456101"/>
    <w:rsid w:val="004567BB"/>
    <w:rsid w:val="00456EF7"/>
    <w:rsid w:val="0046030C"/>
    <w:rsid w:val="00460402"/>
    <w:rsid w:val="00460953"/>
    <w:rsid w:val="00461065"/>
    <w:rsid w:val="004611A0"/>
    <w:rsid w:val="00461E07"/>
    <w:rsid w:val="00462CE8"/>
    <w:rsid w:val="00462E7E"/>
    <w:rsid w:val="00463C66"/>
    <w:rsid w:val="004654B2"/>
    <w:rsid w:val="004679C4"/>
    <w:rsid w:val="00467FA2"/>
    <w:rsid w:val="004700F6"/>
    <w:rsid w:val="00470258"/>
    <w:rsid w:val="00470289"/>
    <w:rsid w:val="00471776"/>
    <w:rsid w:val="00471BD7"/>
    <w:rsid w:val="004727FC"/>
    <w:rsid w:val="00472C67"/>
    <w:rsid w:val="00472EC0"/>
    <w:rsid w:val="00473AB1"/>
    <w:rsid w:val="0047497B"/>
    <w:rsid w:val="004753D4"/>
    <w:rsid w:val="004761B6"/>
    <w:rsid w:val="004764A3"/>
    <w:rsid w:val="0047682A"/>
    <w:rsid w:val="00476C9A"/>
    <w:rsid w:val="0047759E"/>
    <w:rsid w:val="00477892"/>
    <w:rsid w:val="00481191"/>
    <w:rsid w:val="004815ED"/>
    <w:rsid w:val="0048337F"/>
    <w:rsid w:val="004839C7"/>
    <w:rsid w:val="004846C7"/>
    <w:rsid w:val="00484AD9"/>
    <w:rsid w:val="00484F78"/>
    <w:rsid w:val="00485CB1"/>
    <w:rsid w:val="0048623D"/>
    <w:rsid w:val="00490255"/>
    <w:rsid w:val="00490C83"/>
    <w:rsid w:val="0049135F"/>
    <w:rsid w:val="004921F0"/>
    <w:rsid w:val="004923AA"/>
    <w:rsid w:val="00492494"/>
    <w:rsid w:val="004928B7"/>
    <w:rsid w:val="00493876"/>
    <w:rsid w:val="0049395A"/>
    <w:rsid w:val="00493C5D"/>
    <w:rsid w:val="00494FB1"/>
    <w:rsid w:val="004955B5"/>
    <w:rsid w:val="00496AA6"/>
    <w:rsid w:val="00496C21"/>
    <w:rsid w:val="00496ED9"/>
    <w:rsid w:val="004970E7"/>
    <w:rsid w:val="004978F4"/>
    <w:rsid w:val="00497B52"/>
    <w:rsid w:val="004A1972"/>
    <w:rsid w:val="004A1E1B"/>
    <w:rsid w:val="004A2058"/>
    <w:rsid w:val="004A21BB"/>
    <w:rsid w:val="004A22E4"/>
    <w:rsid w:val="004A2699"/>
    <w:rsid w:val="004A2C9D"/>
    <w:rsid w:val="004A39DE"/>
    <w:rsid w:val="004A447E"/>
    <w:rsid w:val="004A5DD0"/>
    <w:rsid w:val="004B0E3A"/>
    <w:rsid w:val="004B1256"/>
    <w:rsid w:val="004B12FC"/>
    <w:rsid w:val="004B18B0"/>
    <w:rsid w:val="004B1C81"/>
    <w:rsid w:val="004B51B0"/>
    <w:rsid w:val="004B52A9"/>
    <w:rsid w:val="004B6DE8"/>
    <w:rsid w:val="004B7E32"/>
    <w:rsid w:val="004C0E30"/>
    <w:rsid w:val="004C0EEB"/>
    <w:rsid w:val="004C12FD"/>
    <w:rsid w:val="004C1E6A"/>
    <w:rsid w:val="004C2493"/>
    <w:rsid w:val="004C35A9"/>
    <w:rsid w:val="004C360B"/>
    <w:rsid w:val="004C3EDF"/>
    <w:rsid w:val="004C56D6"/>
    <w:rsid w:val="004C5CA0"/>
    <w:rsid w:val="004C5D6E"/>
    <w:rsid w:val="004C5E01"/>
    <w:rsid w:val="004C5F59"/>
    <w:rsid w:val="004C6B5B"/>
    <w:rsid w:val="004C7E10"/>
    <w:rsid w:val="004D06DC"/>
    <w:rsid w:val="004D0E20"/>
    <w:rsid w:val="004D18EB"/>
    <w:rsid w:val="004D1A49"/>
    <w:rsid w:val="004D2005"/>
    <w:rsid w:val="004D32B1"/>
    <w:rsid w:val="004D4394"/>
    <w:rsid w:val="004D445C"/>
    <w:rsid w:val="004D479D"/>
    <w:rsid w:val="004D53B2"/>
    <w:rsid w:val="004D6A89"/>
    <w:rsid w:val="004D6C72"/>
    <w:rsid w:val="004D76B6"/>
    <w:rsid w:val="004E128B"/>
    <w:rsid w:val="004E16F6"/>
    <w:rsid w:val="004E21B0"/>
    <w:rsid w:val="004E2E49"/>
    <w:rsid w:val="004E36A3"/>
    <w:rsid w:val="004E381D"/>
    <w:rsid w:val="004E5B6B"/>
    <w:rsid w:val="004E6228"/>
    <w:rsid w:val="004E6566"/>
    <w:rsid w:val="004F08F9"/>
    <w:rsid w:val="004F092A"/>
    <w:rsid w:val="004F1DEF"/>
    <w:rsid w:val="004F2A2E"/>
    <w:rsid w:val="004F2D20"/>
    <w:rsid w:val="004F2EFB"/>
    <w:rsid w:val="004F38FB"/>
    <w:rsid w:val="004F4349"/>
    <w:rsid w:val="004F4909"/>
    <w:rsid w:val="004F55E2"/>
    <w:rsid w:val="004F5760"/>
    <w:rsid w:val="004F57E7"/>
    <w:rsid w:val="004F71D2"/>
    <w:rsid w:val="004F7405"/>
    <w:rsid w:val="004F7476"/>
    <w:rsid w:val="004F7E06"/>
    <w:rsid w:val="0050023A"/>
    <w:rsid w:val="00500F5E"/>
    <w:rsid w:val="00501968"/>
    <w:rsid w:val="00503D91"/>
    <w:rsid w:val="00504DE6"/>
    <w:rsid w:val="00504E0F"/>
    <w:rsid w:val="00505896"/>
    <w:rsid w:val="00505C66"/>
    <w:rsid w:val="00507336"/>
    <w:rsid w:val="00507D84"/>
    <w:rsid w:val="005125D3"/>
    <w:rsid w:val="00512677"/>
    <w:rsid w:val="00512AAF"/>
    <w:rsid w:val="00512F61"/>
    <w:rsid w:val="005155AF"/>
    <w:rsid w:val="00515DF3"/>
    <w:rsid w:val="00517D9C"/>
    <w:rsid w:val="0052019C"/>
    <w:rsid w:val="00520455"/>
    <w:rsid w:val="00521815"/>
    <w:rsid w:val="00521820"/>
    <w:rsid w:val="00521972"/>
    <w:rsid w:val="00521E63"/>
    <w:rsid w:val="005222B6"/>
    <w:rsid w:val="00522E47"/>
    <w:rsid w:val="00523B23"/>
    <w:rsid w:val="005240B9"/>
    <w:rsid w:val="0052459A"/>
    <w:rsid w:val="005252A4"/>
    <w:rsid w:val="00525585"/>
    <w:rsid w:val="005262F8"/>
    <w:rsid w:val="00526629"/>
    <w:rsid w:val="005266F6"/>
    <w:rsid w:val="00530D2A"/>
    <w:rsid w:val="00531124"/>
    <w:rsid w:val="0053148E"/>
    <w:rsid w:val="00531D2D"/>
    <w:rsid w:val="005326F9"/>
    <w:rsid w:val="00532DC1"/>
    <w:rsid w:val="0053378A"/>
    <w:rsid w:val="00533E86"/>
    <w:rsid w:val="0053463D"/>
    <w:rsid w:val="00534EEA"/>
    <w:rsid w:val="005354AA"/>
    <w:rsid w:val="00535A36"/>
    <w:rsid w:val="005369C2"/>
    <w:rsid w:val="00536D38"/>
    <w:rsid w:val="00536F6D"/>
    <w:rsid w:val="00537274"/>
    <w:rsid w:val="005408FF"/>
    <w:rsid w:val="0054114A"/>
    <w:rsid w:val="005419E9"/>
    <w:rsid w:val="00541BD9"/>
    <w:rsid w:val="00541C8C"/>
    <w:rsid w:val="005420D4"/>
    <w:rsid w:val="00542A8C"/>
    <w:rsid w:val="00542E60"/>
    <w:rsid w:val="00542F0C"/>
    <w:rsid w:val="005434AA"/>
    <w:rsid w:val="00544176"/>
    <w:rsid w:val="00544204"/>
    <w:rsid w:val="0054526A"/>
    <w:rsid w:val="0054702D"/>
    <w:rsid w:val="00547C1F"/>
    <w:rsid w:val="00547ECA"/>
    <w:rsid w:val="00551D32"/>
    <w:rsid w:val="00552350"/>
    <w:rsid w:val="005527B6"/>
    <w:rsid w:val="00552847"/>
    <w:rsid w:val="005532DB"/>
    <w:rsid w:val="00553A0B"/>
    <w:rsid w:val="005540DE"/>
    <w:rsid w:val="00555A3C"/>
    <w:rsid w:val="005577C6"/>
    <w:rsid w:val="005604DA"/>
    <w:rsid w:val="00561F64"/>
    <w:rsid w:val="005627AA"/>
    <w:rsid w:val="00562B54"/>
    <w:rsid w:val="00563F99"/>
    <w:rsid w:val="00564601"/>
    <w:rsid w:val="00564DCD"/>
    <w:rsid w:val="00564F62"/>
    <w:rsid w:val="00567B13"/>
    <w:rsid w:val="00567B45"/>
    <w:rsid w:val="00570195"/>
    <w:rsid w:val="00570600"/>
    <w:rsid w:val="005712C8"/>
    <w:rsid w:val="00571562"/>
    <w:rsid w:val="0057190E"/>
    <w:rsid w:val="00572ABC"/>
    <w:rsid w:val="00574AC2"/>
    <w:rsid w:val="00574DD2"/>
    <w:rsid w:val="00575286"/>
    <w:rsid w:val="00576C97"/>
    <w:rsid w:val="0057715E"/>
    <w:rsid w:val="00577233"/>
    <w:rsid w:val="0057783F"/>
    <w:rsid w:val="0058072A"/>
    <w:rsid w:val="00581C99"/>
    <w:rsid w:val="00582198"/>
    <w:rsid w:val="0058300C"/>
    <w:rsid w:val="00583872"/>
    <w:rsid w:val="00583993"/>
    <w:rsid w:val="005849B4"/>
    <w:rsid w:val="00584F66"/>
    <w:rsid w:val="00586346"/>
    <w:rsid w:val="005870A3"/>
    <w:rsid w:val="00587113"/>
    <w:rsid w:val="005875F1"/>
    <w:rsid w:val="00587B7C"/>
    <w:rsid w:val="00591803"/>
    <w:rsid w:val="005918BF"/>
    <w:rsid w:val="00591C59"/>
    <w:rsid w:val="00591E5C"/>
    <w:rsid w:val="005930DF"/>
    <w:rsid w:val="00595559"/>
    <w:rsid w:val="005962C3"/>
    <w:rsid w:val="00596F9E"/>
    <w:rsid w:val="0059705C"/>
    <w:rsid w:val="005974EA"/>
    <w:rsid w:val="005A0125"/>
    <w:rsid w:val="005A08AC"/>
    <w:rsid w:val="005A0F8F"/>
    <w:rsid w:val="005A11C0"/>
    <w:rsid w:val="005A1A4D"/>
    <w:rsid w:val="005A259D"/>
    <w:rsid w:val="005A2776"/>
    <w:rsid w:val="005A307C"/>
    <w:rsid w:val="005A313A"/>
    <w:rsid w:val="005A3332"/>
    <w:rsid w:val="005A3CB9"/>
    <w:rsid w:val="005A45CC"/>
    <w:rsid w:val="005A4671"/>
    <w:rsid w:val="005A4F06"/>
    <w:rsid w:val="005A5025"/>
    <w:rsid w:val="005A58C3"/>
    <w:rsid w:val="005A5911"/>
    <w:rsid w:val="005A5DD2"/>
    <w:rsid w:val="005A6786"/>
    <w:rsid w:val="005A67D8"/>
    <w:rsid w:val="005B075B"/>
    <w:rsid w:val="005B0EB3"/>
    <w:rsid w:val="005B2D91"/>
    <w:rsid w:val="005B30BA"/>
    <w:rsid w:val="005B3A7D"/>
    <w:rsid w:val="005B411E"/>
    <w:rsid w:val="005B4633"/>
    <w:rsid w:val="005B5969"/>
    <w:rsid w:val="005B6562"/>
    <w:rsid w:val="005B7D08"/>
    <w:rsid w:val="005C087C"/>
    <w:rsid w:val="005C1144"/>
    <w:rsid w:val="005C1C33"/>
    <w:rsid w:val="005C214F"/>
    <w:rsid w:val="005C2788"/>
    <w:rsid w:val="005C2C4F"/>
    <w:rsid w:val="005C31A8"/>
    <w:rsid w:val="005C522C"/>
    <w:rsid w:val="005C615F"/>
    <w:rsid w:val="005D0BAE"/>
    <w:rsid w:val="005D1342"/>
    <w:rsid w:val="005D1908"/>
    <w:rsid w:val="005D2ACE"/>
    <w:rsid w:val="005D2BA9"/>
    <w:rsid w:val="005D2C55"/>
    <w:rsid w:val="005D36DE"/>
    <w:rsid w:val="005D4965"/>
    <w:rsid w:val="005D4B70"/>
    <w:rsid w:val="005D5D3B"/>
    <w:rsid w:val="005D5DB2"/>
    <w:rsid w:val="005D6EE5"/>
    <w:rsid w:val="005E1DD7"/>
    <w:rsid w:val="005E21CF"/>
    <w:rsid w:val="005E2FA4"/>
    <w:rsid w:val="005E3776"/>
    <w:rsid w:val="005E4F07"/>
    <w:rsid w:val="005E59E0"/>
    <w:rsid w:val="005E77A8"/>
    <w:rsid w:val="005E7E93"/>
    <w:rsid w:val="005E7F0B"/>
    <w:rsid w:val="005F006C"/>
    <w:rsid w:val="005F070B"/>
    <w:rsid w:val="005F080D"/>
    <w:rsid w:val="005F162C"/>
    <w:rsid w:val="005F17B6"/>
    <w:rsid w:val="005F2BAD"/>
    <w:rsid w:val="005F2C5D"/>
    <w:rsid w:val="005F2DB4"/>
    <w:rsid w:val="005F38EE"/>
    <w:rsid w:val="005F3E2E"/>
    <w:rsid w:val="005F6110"/>
    <w:rsid w:val="005F623D"/>
    <w:rsid w:val="005F64CB"/>
    <w:rsid w:val="005F708D"/>
    <w:rsid w:val="005F7B75"/>
    <w:rsid w:val="00600821"/>
    <w:rsid w:val="00600E54"/>
    <w:rsid w:val="00601A96"/>
    <w:rsid w:val="00601C70"/>
    <w:rsid w:val="00602119"/>
    <w:rsid w:val="006023CB"/>
    <w:rsid w:val="0060241C"/>
    <w:rsid w:val="00602FC4"/>
    <w:rsid w:val="00603B4B"/>
    <w:rsid w:val="00605E14"/>
    <w:rsid w:val="006061DB"/>
    <w:rsid w:val="00606575"/>
    <w:rsid w:val="0060690B"/>
    <w:rsid w:val="00607738"/>
    <w:rsid w:val="00610241"/>
    <w:rsid w:val="006103BB"/>
    <w:rsid w:val="00610808"/>
    <w:rsid w:val="00610D3E"/>
    <w:rsid w:val="006113AD"/>
    <w:rsid w:val="00611F33"/>
    <w:rsid w:val="0061290E"/>
    <w:rsid w:val="0061293C"/>
    <w:rsid w:val="00614B29"/>
    <w:rsid w:val="00614F89"/>
    <w:rsid w:val="00614FE0"/>
    <w:rsid w:val="006152D1"/>
    <w:rsid w:val="00616EBF"/>
    <w:rsid w:val="00617A3C"/>
    <w:rsid w:val="00620CB7"/>
    <w:rsid w:val="00624350"/>
    <w:rsid w:val="00624CA7"/>
    <w:rsid w:val="00624F2F"/>
    <w:rsid w:val="00625E3A"/>
    <w:rsid w:val="006264CD"/>
    <w:rsid w:val="006305F8"/>
    <w:rsid w:val="006313FC"/>
    <w:rsid w:val="00631B99"/>
    <w:rsid w:val="0063233F"/>
    <w:rsid w:val="00633ABD"/>
    <w:rsid w:val="00634DA7"/>
    <w:rsid w:val="006427FB"/>
    <w:rsid w:val="00642CFD"/>
    <w:rsid w:val="00643B63"/>
    <w:rsid w:val="00644E50"/>
    <w:rsid w:val="006450A1"/>
    <w:rsid w:val="0064559F"/>
    <w:rsid w:val="006462A9"/>
    <w:rsid w:val="006471BF"/>
    <w:rsid w:val="00650254"/>
    <w:rsid w:val="00650ADD"/>
    <w:rsid w:val="0065230E"/>
    <w:rsid w:val="00653365"/>
    <w:rsid w:val="00653CC4"/>
    <w:rsid w:val="00653D8C"/>
    <w:rsid w:val="0065438A"/>
    <w:rsid w:val="006546BD"/>
    <w:rsid w:val="006547CE"/>
    <w:rsid w:val="00654995"/>
    <w:rsid w:val="00654BD3"/>
    <w:rsid w:val="00655EE7"/>
    <w:rsid w:val="00656357"/>
    <w:rsid w:val="00656674"/>
    <w:rsid w:val="006575BF"/>
    <w:rsid w:val="0066047C"/>
    <w:rsid w:val="00660634"/>
    <w:rsid w:val="0066081D"/>
    <w:rsid w:val="006610E8"/>
    <w:rsid w:val="00661141"/>
    <w:rsid w:val="006616BC"/>
    <w:rsid w:val="00662D2C"/>
    <w:rsid w:val="0066382B"/>
    <w:rsid w:val="00664040"/>
    <w:rsid w:val="00664291"/>
    <w:rsid w:val="006664B5"/>
    <w:rsid w:val="006668F3"/>
    <w:rsid w:val="00667756"/>
    <w:rsid w:val="0067030A"/>
    <w:rsid w:val="006703B0"/>
    <w:rsid w:val="006704F1"/>
    <w:rsid w:val="006714FE"/>
    <w:rsid w:val="00671E7A"/>
    <w:rsid w:val="00672EC4"/>
    <w:rsid w:val="00672FD2"/>
    <w:rsid w:val="006737C9"/>
    <w:rsid w:val="006737DA"/>
    <w:rsid w:val="00673F26"/>
    <w:rsid w:val="00674AE7"/>
    <w:rsid w:val="00674BC7"/>
    <w:rsid w:val="00675365"/>
    <w:rsid w:val="00676177"/>
    <w:rsid w:val="006763BC"/>
    <w:rsid w:val="00676825"/>
    <w:rsid w:val="006768CC"/>
    <w:rsid w:val="00677D7C"/>
    <w:rsid w:val="0068009C"/>
    <w:rsid w:val="006806ED"/>
    <w:rsid w:val="006806EF"/>
    <w:rsid w:val="0068152E"/>
    <w:rsid w:val="00681EEB"/>
    <w:rsid w:val="0068280A"/>
    <w:rsid w:val="00683031"/>
    <w:rsid w:val="0068652B"/>
    <w:rsid w:val="00686800"/>
    <w:rsid w:val="00686B26"/>
    <w:rsid w:val="00686E3C"/>
    <w:rsid w:val="006877C9"/>
    <w:rsid w:val="00687EDE"/>
    <w:rsid w:val="00687FBE"/>
    <w:rsid w:val="00690098"/>
    <w:rsid w:val="00690216"/>
    <w:rsid w:val="00690951"/>
    <w:rsid w:val="00690B29"/>
    <w:rsid w:val="006914F1"/>
    <w:rsid w:val="006917EE"/>
    <w:rsid w:val="00691B46"/>
    <w:rsid w:val="00691F9E"/>
    <w:rsid w:val="00693214"/>
    <w:rsid w:val="00693FB8"/>
    <w:rsid w:val="0069486F"/>
    <w:rsid w:val="00694C41"/>
    <w:rsid w:val="006955B2"/>
    <w:rsid w:val="00695844"/>
    <w:rsid w:val="00695A47"/>
    <w:rsid w:val="00695AB9"/>
    <w:rsid w:val="00695AFA"/>
    <w:rsid w:val="006960CC"/>
    <w:rsid w:val="00696C6C"/>
    <w:rsid w:val="0069715C"/>
    <w:rsid w:val="00697390"/>
    <w:rsid w:val="006A041A"/>
    <w:rsid w:val="006A1085"/>
    <w:rsid w:val="006A1260"/>
    <w:rsid w:val="006A204A"/>
    <w:rsid w:val="006A286B"/>
    <w:rsid w:val="006A36AB"/>
    <w:rsid w:val="006A3836"/>
    <w:rsid w:val="006A4AD2"/>
    <w:rsid w:val="006A4DCC"/>
    <w:rsid w:val="006A540A"/>
    <w:rsid w:val="006A5977"/>
    <w:rsid w:val="006A5AEA"/>
    <w:rsid w:val="006A5BBE"/>
    <w:rsid w:val="006A6ACB"/>
    <w:rsid w:val="006A78D0"/>
    <w:rsid w:val="006B0234"/>
    <w:rsid w:val="006B069D"/>
    <w:rsid w:val="006B1181"/>
    <w:rsid w:val="006B1A51"/>
    <w:rsid w:val="006B2B96"/>
    <w:rsid w:val="006B3841"/>
    <w:rsid w:val="006B3C74"/>
    <w:rsid w:val="006B42D5"/>
    <w:rsid w:val="006B5167"/>
    <w:rsid w:val="006B6078"/>
    <w:rsid w:val="006B6086"/>
    <w:rsid w:val="006B6C90"/>
    <w:rsid w:val="006B6E52"/>
    <w:rsid w:val="006B76F0"/>
    <w:rsid w:val="006B7A66"/>
    <w:rsid w:val="006B7D43"/>
    <w:rsid w:val="006C0035"/>
    <w:rsid w:val="006C04FF"/>
    <w:rsid w:val="006C05ED"/>
    <w:rsid w:val="006C1363"/>
    <w:rsid w:val="006C15A9"/>
    <w:rsid w:val="006C15FA"/>
    <w:rsid w:val="006C186B"/>
    <w:rsid w:val="006C1AFB"/>
    <w:rsid w:val="006C1C67"/>
    <w:rsid w:val="006C2868"/>
    <w:rsid w:val="006C363E"/>
    <w:rsid w:val="006C4031"/>
    <w:rsid w:val="006C4513"/>
    <w:rsid w:val="006C48A7"/>
    <w:rsid w:val="006C4909"/>
    <w:rsid w:val="006C4DCF"/>
    <w:rsid w:val="006C510C"/>
    <w:rsid w:val="006C5161"/>
    <w:rsid w:val="006C5372"/>
    <w:rsid w:val="006C5F41"/>
    <w:rsid w:val="006C603F"/>
    <w:rsid w:val="006C64BD"/>
    <w:rsid w:val="006C668B"/>
    <w:rsid w:val="006C6D2E"/>
    <w:rsid w:val="006C6EB8"/>
    <w:rsid w:val="006C70CA"/>
    <w:rsid w:val="006C714C"/>
    <w:rsid w:val="006D05FD"/>
    <w:rsid w:val="006D066C"/>
    <w:rsid w:val="006D1168"/>
    <w:rsid w:val="006D1225"/>
    <w:rsid w:val="006D1B36"/>
    <w:rsid w:val="006D22CD"/>
    <w:rsid w:val="006D23E5"/>
    <w:rsid w:val="006D276F"/>
    <w:rsid w:val="006D2C0C"/>
    <w:rsid w:val="006D2E82"/>
    <w:rsid w:val="006D3BA1"/>
    <w:rsid w:val="006D42CF"/>
    <w:rsid w:val="006D4E92"/>
    <w:rsid w:val="006D5DDC"/>
    <w:rsid w:val="006D6236"/>
    <w:rsid w:val="006D67AC"/>
    <w:rsid w:val="006D767C"/>
    <w:rsid w:val="006D798B"/>
    <w:rsid w:val="006D79A6"/>
    <w:rsid w:val="006E01D0"/>
    <w:rsid w:val="006E0695"/>
    <w:rsid w:val="006E091D"/>
    <w:rsid w:val="006E0C01"/>
    <w:rsid w:val="006E1376"/>
    <w:rsid w:val="006E1BB6"/>
    <w:rsid w:val="006E3549"/>
    <w:rsid w:val="006E3AFE"/>
    <w:rsid w:val="006E3EF0"/>
    <w:rsid w:val="006E5415"/>
    <w:rsid w:val="006E56D5"/>
    <w:rsid w:val="006E5799"/>
    <w:rsid w:val="006E5870"/>
    <w:rsid w:val="006E5E26"/>
    <w:rsid w:val="006E6213"/>
    <w:rsid w:val="006F02D3"/>
    <w:rsid w:val="006F0DA0"/>
    <w:rsid w:val="006F2D61"/>
    <w:rsid w:val="006F316C"/>
    <w:rsid w:val="006F34C7"/>
    <w:rsid w:val="006F37F9"/>
    <w:rsid w:val="006F3CBE"/>
    <w:rsid w:val="006F5734"/>
    <w:rsid w:val="006F698D"/>
    <w:rsid w:val="006F6DB0"/>
    <w:rsid w:val="006F75F0"/>
    <w:rsid w:val="006F7B85"/>
    <w:rsid w:val="007002DF"/>
    <w:rsid w:val="0070043E"/>
    <w:rsid w:val="00701103"/>
    <w:rsid w:val="00701394"/>
    <w:rsid w:val="00701A70"/>
    <w:rsid w:val="00701F9E"/>
    <w:rsid w:val="007027D8"/>
    <w:rsid w:val="00702FA5"/>
    <w:rsid w:val="00703711"/>
    <w:rsid w:val="00703851"/>
    <w:rsid w:val="007041FA"/>
    <w:rsid w:val="00704599"/>
    <w:rsid w:val="007058E5"/>
    <w:rsid w:val="00705914"/>
    <w:rsid w:val="007062A2"/>
    <w:rsid w:val="00706AF8"/>
    <w:rsid w:val="007078CA"/>
    <w:rsid w:val="00710CF9"/>
    <w:rsid w:val="00712D7B"/>
    <w:rsid w:val="00713668"/>
    <w:rsid w:val="00713DDB"/>
    <w:rsid w:val="0071552F"/>
    <w:rsid w:val="0071565A"/>
    <w:rsid w:val="00716724"/>
    <w:rsid w:val="00716F9A"/>
    <w:rsid w:val="00717517"/>
    <w:rsid w:val="00717A84"/>
    <w:rsid w:val="00720C78"/>
    <w:rsid w:val="00723E68"/>
    <w:rsid w:val="00723F2C"/>
    <w:rsid w:val="007241DD"/>
    <w:rsid w:val="007243AF"/>
    <w:rsid w:val="00724821"/>
    <w:rsid w:val="00724EC8"/>
    <w:rsid w:val="007307E5"/>
    <w:rsid w:val="0073331D"/>
    <w:rsid w:val="00733899"/>
    <w:rsid w:val="00733B8B"/>
    <w:rsid w:val="00733F5A"/>
    <w:rsid w:val="0073593B"/>
    <w:rsid w:val="00735AA1"/>
    <w:rsid w:val="00735FA4"/>
    <w:rsid w:val="00736557"/>
    <w:rsid w:val="007376D7"/>
    <w:rsid w:val="0074096D"/>
    <w:rsid w:val="00742646"/>
    <w:rsid w:val="0074310D"/>
    <w:rsid w:val="007434AB"/>
    <w:rsid w:val="00743F84"/>
    <w:rsid w:val="00743FC9"/>
    <w:rsid w:val="00744973"/>
    <w:rsid w:val="007460A2"/>
    <w:rsid w:val="007462E1"/>
    <w:rsid w:val="007469C1"/>
    <w:rsid w:val="00750139"/>
    <w:rsid w:val="00751E82"/>
    <w:rsid w:val="007527F9"/>
    <w:rsid w:val="00752DAF"/>
    <w:rsid w:val="0075371B"/>
    <w:rsid w:val="00753EBD"/>
    <w:rsid w:val="00753EF6"/>
    <w:rsid w:val="00754289"/>
    <w:rsid w:val="00754EE8"/>
    <w:rsid w:val="00755BBC"/>
    <w:rsid w:val="0075668C"/>
    <w:rsid w:val="007567B8"/>
    <w:rsid w:val="00756BF0"/>
    <w:rsid w:val="00760772"/>
    <w:rsid w:val="007612EB"/>
    <w:rsid w:val="007618EE"/>
    <w:rsid w:val="007619D4"/>
    <w:rsid w:val="00761A4D"/>
    <w:rsid w:val="007629B3"/>
    <w:rsid w:val="00762F85"/>
    <w:rsid w:val="00763281"/>
    <w:rsid w:val="00763F90"/>
    <w:rsid w:val="00764AE3"/>
    <w:rsid w:val="00765BF6"/>
    <w:rsid w:val="00765C50"/>
    <w:rsid w:val="00766164"/>
    <w:rsid w:val="0076682C"/>
    <w:rsid w:val="00767227"/>
    <w:rsid w:val="00770B68"/>
    <w:rsid w:val="00771331"/>
    <w:rsid w:val="00771862"/>
    <w:rsid w:val="007721E9"/>
    <w:rsid w:val="007729DB"/>
    <w:rsid w:val="00772A40"/>
    <w:rsid w:val="00774002"/>
    <w:rsid w:val="00774060"/>
    <w:rsid w:val="007740A4"/>
    <w:rsid w:val="007741D3"/>
    <w:rsid w:val="007744D4"/>
    <w:rsid w:val="00774568"/>
    <w:rsid w:val="00774B9C"/>
    <w:rsid w:val="00774EE6"/>
    <w:rsid w:val="007753A9"/>
    <w:rsid w:val="00775AC4"/>
    <w:rsid w:val="00775C25"/>
    <w:rsid w:val="00775C8A"/>
    <w:rsid w:val="007761DA"/>
    <w:rsid w:val="00776A7C"/>
    <w:rsid w:val="00776EC9"/>
    <w:rsid w:val="00777D68"/>
    <w:rsid w:val="007806D4"/>
    <w:rsid w:val="00780B0C"/>
    <w:rsid w:val="00781044"/>
    <w:rsid w:val="007816E0"/>
    <w:rsid w:val="0078206D"/>
    <w:rsid w:val="007820F7"/>
    <w:rsid w:val="00782427"/>
    <w:rsid w:val="00783439"/>
    <w:rsid w:val="00784B41"/>
    <w:rsid w:val="00785079"/>
    <w:rsid w:val="00785286"/>
    <w:rsid w:val="007854E6"/>
    <w:rsid w:val="00785A78"/>
    <w:rsid w:val="00785F32"/>
    <w:rsid w:val="00787FA0"/>
    <w:rsid w:val="0079057A"/>
    <w:rsid w:val="00790C47"/>
    <w:rsid w:val="00791117"/>
    <w:rsid w:val="00792207"/>
    <w:rsid w:val="00792864"/>
    <w:rsid w:val="007928F7"/>
    <w:rsid w:val="007929C0"/>
    <w:rsid w:val="007937DF"/>
    <w:rsid w:val="0079454A"/>
    <w:rsid w:val="00795431"/>
    <w:rsid w:val="0079579E"/>
    <w:rsid w:val="00796491"/>
    <w:rsid w:val="007A08BD"/>
    <w:rsid w:val="007A1AB4"/>
    <w:rsid w:val="007A2139"/>
    <w:rsid w:val="007A34F3"/>
    <w:rsid w:val="007A3ECF"/>
    <w:rsid w:val="007A5264"/>
    <w:rsid w:val="007A5B83"/>
    <w:rsid w:val="007A5C96"/>
    <w:rsid w:val="007A6E8B"/>
    <w:rsid w:val="007A70ED"/>
    <w:rsid w:val="007A75A6"/>
    <w:rsid w:val="007A7FDF"/>
    <w:rsid w:val="007B02DA"/>
    <w:rsid w:val="007B08C0"/>
    <w:rsid w:val="007B0F94"/>
    <w:rsid w:val="007B1AE6"/>
    <w:rsid w:val="007B21E4"/>
    <w:rsid w:val="007B2DDE"/>
    <w:rsid w:val="007B3069"/>
    <w:rsid w:val="007B3E1C"/>
    <w:rsid w:val="007B530B"/>
    <w:rsid w:val="007B5F23"/>
    <w:rsid w:val="007B6376"/>
    <w:rsid w:val="007B7A09"/>
    <w:rsid w:val="007B7DFF"/>
    <w:rsid w:val="007B7E9C"/>
    <w:rsid w:val="007C01B0"/>
    <w:rsid w:val="007C0C4F"/>
    <w:rsid w:val="007C2073"/>
    <w:rsid w:val="007C29C5"/>
    <w:rsid w:val="007C3E68"/>
    <w:rsid w:val="007C4321"/>
    <w:rsid w:val="007C56D0"/>
    <w:rsid w:val="007C57BD"/>
    <w:rsid w:val="007C6AE0"/>
    <w:rsid w:val="007C6D5B"/>
    <w:rsid w:val="007C7F2D"/>
    <w:rsid w:val="007D0CEE"/>
    <w:rsid w:val="007D1616"/>
    <w:rsid w:val="007D27F0"/>
    <w:rsid w:val="007D2E4B"/>
    <w:rsid w:val="007D32F2"/>
    <w:rsid w:val="007D3B51"/>
    <w:rsid w:val="007D42E8"/>
    <w:rsid w:val="007D5B3C"/>
    <w:rsid w:val="007D5E3C"/>
    <w:rsid w:val="007D61C5"/>
    <w:rsid w:val="007D7EE5"/>
    <w:rsid w:val="007E15D1"/>
    <w:rsid w:val="007E1D16"/>
    <w:rsid w:val="007E23F0"/>
    <w:rsid w:val="007E34C8"/>
    <w:rsid w:val="007E34F5"/>
    <w:rsid w:val="007E3584"/>
    <w:rsid w:val="007E5B14"/>
    <w:rsid w:val="007E61F7"/>
    <w:rsid w:val="007E71AF"/>
    <w:rsid w:val="007E7704"/>
    <w:rsid w:val="007E7EA1"/>
    <w:rsid w:val="007F0DBF"/>
    <w:rsid w:val="007F1A95"/>
    <w:rsid w:val="007F28F9"/>
    <w:rsid w:val="007F2B14"/>
    <w:rsid w:val="007F2FEC"/>
    <w:rsid w:val="007F31FC"/>
    <w:rsid w:val="007F370D"/>
    <w:rsid w:val="007F3EB9"/>
    <w:rsid w:val="007F4084"/>
    <w:rsid w:val="007F4831"/>
    <w:rsid w:val="007F4D52"/>
    <w:rsid w:val="007F4DE3"/>
    <w:rsid w:val="007F4E2A"/>
    <w:rsid w:val="007F6D81"/>
    <w:rsid w:val="007F7B65"/>
    <w:rsid w:val="0080016C"/>
    <w:rsid w:val="008001B0"/>
    <w:rsid w:val="00800E2D"/>
    <w:rsid w:val="008013A0"/>
    <w:rsid w:val="008015BF"/>
    <w:rsid w:val="00803D98"/>
    <w:rsid w:val="00804C08"/>
    <w:rsid w:val="00805C91"/>
    <w:rsid w:val="008061C1"/>
    <w:rsid w:val="00806397"/>
    <w:rsid w:val="00806846"/>
    <w:rsid w:val="0080724A"/>
    <w:rsid w:val="00807FAB"/>
    <w:rsid w:val="00810AB7"/>
    <w:rsid w:val="00811E0A"/>
    <w:rsid w:val="00811E72"/>
    <w:rsid w:val="008143E1"/>
    <w:rsid w:val="00815B90"/>
    <w:rsid w:val="008169EF"/>
    <w:rsid w:val="00816D7F"/>
    <w:rsid w:val="00817153"/>
    <w:rsid w:val="00817864"/>
    <w:rsid w:val="00817BC6"/>
    <w:rsid w:val="0082091E"/>
    <w:rsid w:val="00821540"/>
    <w:rsid w:val="0082250A"/>
    <w:rsid w:val="00822B6A"/>
    <w:rsid w:val="00822D43"/>
    <w:rsid w:val="00822F66"/>
    <w:rsid w:val="00823BF5"/>
    <w:rsid w:val="0082438B"/>
    <w:rsid w:val="00824C2D"/>
    <w:rsid w:val="00824EAD"/>
    <w:rsid w:val="00825622"/>
    <w:rsid w:val="0082591B"/>
    <w:rsid w:val="00826041"/>
    <w:rsid w:val="00826CED"/>
    <w:rsid w:val="00827983"/>
    <w:rsid w:val="00827F1D"/>
    <w:rsid w:val="00830C16"/>
    <w:rsid w:val="008316D7"/>
    <w:rsid w:val="008317C0"/>
    <w:rsid w:val="008319BB"/>
    <w:rsid w:val="00831BB4"/>
    <w:rsid w:val="008324AF"/>
    <w:rsid w:val="00832D72"/>
    <w:rsid w:val="0083340D"/>
    <w:rsid w:val="00833CE6"/>
    <w:rsid w:val="008341C6"/>
    <w:rsid w:val="00834666"/>
    <w:rsid w:val="00834A20"/>
    <w:rsid w:val="0083672C"/>
    <w:rsid w:val="00836F42"/>
    <w:rsid w:val="008400F7"/>
    <w:rsid w:val="00840296"/>
    <w:rsid w:val="00840342"/>
    <w:rsid w:val="00840ABD"/>
    <w:rsid w:val="008417DB"/>
    <w:rsid w:val="0084236B"/>
    <w:rsid w:val="00842974"/>
    <w:rsid w:val="00843155"/>
    <w:rsid w:val="00843244"/>
    <w:rsid w:val="00844252"/>
    <w:rsid w:val="00844CB0"/>
    <w:rsid w:val="0084520E"/>
    <w:rsid w:val="0084533A"/>
    <w:rsid w:val="00845C30"/>
    <w:rsid w:val="008460DB"/>
    <w:rsid w:val="00847008"/>
    <w:rsid w:val="008475E2"/>
    <w:rsid w:val="00847EE5"/>
    <w:rsid w:val="00850A2F"/>
    <w:rsid w:val="0085132B"/>
    <w:rsid w:val="00852668"/>
    <w:rsid w:val="00852B32"/>
    <w:rsid w:val="00853427"/>
    <w:rsid w:val="00853449"/>
    <w:rsid w:val="008543A3"/>
    <w:rsid w:val="00854519"/>
    <w:rsid w:val="00854BC7"/>
    <w:rsid w:val="0085625B"/>
    <w:rsid w:val="00856526"/>
    <w:rsid w:val="0085735A"/>
    <w:rsid w:val="00857D3C"/>
    <w:rsid w:val="008605AE"/>
    <w:rsid w:val="0086121A"/>
    <w:rsid w:val="00863348"/>
    <w:rsid w:val="00864266"/>
    <w:rsid w:val="00864711"/>
    <w:rsid w:val="00864F89"/>
    <w:rsid w:val="00865AAE"/>
    <w:rsid w:val="00866263"/>
    <w:rsid w:val="00866CD4"/>
    <w:rsid w:val="0086747B"/>
    <w:rsid w:val="00867921"/>
    <w:rsid w:val="008700C1"/>
    <w:rsid w:val="008710B1"/>
    <w:rsid w:val="00871C23"/>
    <w:rsid w:val="00872104"/>
    <w:rsid w:val="008726BC"/>
    <w:rsid w:val="0087324A"/>
    <w:rsid w:val="0087330C"/>
    <w:rsid w:val="008748A1"/>
    <w:rsid w:val="00874990"/>
    <w:rsid w:val="00874E92"/>
    <w:rsid w:val="00876AE5"/>
    <w:rsid w:val="008776F9"/>
    <w:rsid w:val="00881303"/>
    <w:rsid w:val="0088176F"/>
    <w:rsid w:val="008818B1"/>
    <w:rsid w:val="00883B43"/>
    <w:rsid w:val="008841C3"/>
    <w:rsid w:val="0088469B"/>
    <w:rsid w:val="00884C93"/>
    <w:rsid w:val="00884D25"/>
    <w:rsid w:val="0088533A"/>
    <w:rsid w:val="00886272"/>
    <w:rsid w:val="0088677E"/>
    <w:rsid w:val="008870A0"/>
    <w:rsid w:val="00887E6D"/>
    <w:rsid w:val="00887FDC"/>
    <w:rsid w:val="008902BB"/>
    <w:rsid w:val="00890EE2"/>
    <w:rsid w:val="00891950"/>
    <w:rsid w:val="00891970"/>
    <w:rsid w:val="008920FC"/>
    <w:rsid w:val="008921C8"/>
    <w:rsid w:val="008938A0"/>
    <w:rsid w:val="00894013"/>
    <w:rsid w:val="0089451E"/>
    <w:rsid w:val="008945A2"/>
    <w:rsid w:val="008956A4"/>
    <w:rsid w:val="00895D94"/>
    <w:rsid w:val="00896061"/>
    <w:rsid w:val="00896984"/>
    <w:rsid w:val="008972EE"/>
    <w:rsid w:val="0089756B"/>
    <w:rsid w:val="008A0647"/>
    <w:rsid w:val="008A1447"/>
    <w:rsid w:val="008A1F22"/>
    <w:rsid w:val="008A1F53"/>
    <w:rsid w:val="008A2768"/>
    <w:rsid w:val="008A4A78"/>
    <w:rsid w:val="008A4FFB"/>
    <w:rsid w:val="008A514F"/>
    <w:rsid w:val="008A608E"/>
    <w:rsid w:val="008A63D7"/>
    <w:rsid w:val="008A677C"/>
    <w:rsid w:val="008A6ED9"/>
    <w:rsid w:val="008A78E3"/>
    <w:rsid w:val="008B0604"/>
    <w:rsid w:val="008B13FB"/>
    <w:rsid w:val="008B1AEE"/>
    <w:rsid w:val="008B2084"/>
    <w:rsid w:val="008B2288"/>
    <w:rsid w:val="008B2292"/>
    <w:rsid w:val="008B27D9"/>
    <w:rsid w:val="008B3A14"/>
    <w:rsid w:val="008B3AC4"/>
    <w:rsid w:val="008B4C16"/>
    <w:rsid w:val="008B4C54"/>
    <w:rsid w:val="008B52E0"/>
    <w:rsid w:val="008B63AC"/>
    <w:rsid w:val="008B7ADA"/>
    <w:rsid w:val="008C03BE"/>
    <w:rsid w:val="008C0A1D"/>
    <w:rsid w:val="008C240C"/>
    <w:rsid w:val="008C2A3C"/>
    <w:rsid w:val="008C2AFE"/>
    <w:rsid w:val="008C2D6F"/>
    <w:rsid w:val="008C352A"/>
    <w:rsid w:val="008C3FA7"/>
    <w:rsid w:val="008C5E0C"/>
    <w:rsid w:val="008C65B7"/>
    <w:rsid w:val="008C6C85"/>
    <w:rsid w:val="008C7665"/>
    <w:rsid w:val="008C796F"/>
    <w:rsid w:val="008D19BC"/>
    <w:rsid w:val="008D2912"/>
    <w:rsid w:val="008D3AF3"/>
    <w:rsid w:val="008D5C86"/>
    <w:rsid w:val="008D6160"/>
    <w:rsid w:val="008D6A97"/>
    <w:rsid w:val="008E036C"/>
    <w:rsid w:val="008E151F"/>
    <w:rsid w:val="008E17F9"/>
    <w:rsid w:val="008E190C"/>
    <w:rsid w:val="008E1AC8"/>
    <w:rsid w:val="008E22FE"/>
    <w:rsid w:val="008E2EDD"/>
    <w:rsid w:val="008E303C"/>
    <w:rsid w:val="008E3F7B"/>
    <w:rsid w:val="008E5AD0"/>
    <w:rsid w:val="008E7579"/>
    <w:rsid w:val="008E75F9"/>
    <w:rsid w:val="008E7AE0"/>
    <w:rsid w:val="008F041D"/>
    <w:rsid w:val="008F0921"/>
    <w:rsid w:val="008F0D5F"/>
    <w:rsid w:val="008F1A0E"/>
    <w:rsid w:val="008F233E"/>
    <w:rsid w:val="008F2536"/>
    <w:rsid w:val="008F2982"/>
    <w:rsid w:val="008F2A74"/>
    <w:rsid w:val="008F3EEF"/>
    <w:rsid w:val="008F47C5"/>
    <w:rsid w:val="008F4BF7"/>
    <w:rsid w:val="008F5327"/>
    <w:rsid w:val="008F5626"/>
    <w:rsid w:val="008F7C9B"/>
    <w:rsid w:val="008F7E42"/>
    <w:rsid w:val="00900459"/>
    <w:rsid w:val="009015BC"/>
    <w:rsid w:val="00901969"/>
    <w:rsid w:val="00901C82"/>
    <w:rsid w:val="009020F3"/>
    <w:rsid w:val="00903AA7"/>
    <w:rsid w:val="00904928"/>
    <w:rsid w:val="0090542D"/>
    <w:rsid w:val="009057F3"/>
    <w:rsid w:val="00905FAE"/>
    <w:rsid w:val="009065E4"/>
    <w:rsid w:val="00907419"/>
    <w:rsid w:val="009104AF"/>
    <w:rsid w:val="00910C09"/>
    <w:rsid w:val="009118A0"/>
    <w:rsid w:val="00912E70"/>
    <w:rsid w:val="009136CE"/>
    <w:rsid w:val="00913AF1"/>
    <w:rsid w:val="00915D51"/>
    <w:rsid w:val="00915EF5"/>
    <w:rsid w:val="00916EBE"/>
    <w:rsid w:val="009171AF"/>
    <w:rsid w:val="00917300"/>
    <w:rsid w:val="00920FE5"/>
    <w:rsid w:val="00922798"/>
    <w:rsid w:val="009231FD"/>
    <w:rsid w:val="00923276"/>
    <w:rsid w:val="00924BD2"/>
    <w:rsid w:val="00924DE9"/>
    <w:rsid w:val="00924F96"/>
    <w:rsid w:val="00925057"/>
    <w:rsid w:val="00925F11"/>
    <w:rsid w:val="00926352"/>
    <w:rsid w:val="009263C6"/>
    <w:rsid w:val="009265B6"/>
    <w:rsid w:val="009268CF"/>
    <w:rsid w:val="00926FA6"/>
    <w:rsid w:val="00927087"/>
    <w:rsid w:val="00927B6A"/>
    <w:rsid w:val="00927F98"/>
    <w:rsid w:val="0093085A"/>
    <w:rsid w:val="00931278"/>
    <w:rsid w:val="0093152B"/>
    <w:rsid w:val="009337BB"/>
    <w:rsid w:val="00933906"/>
    <w:rsid w:val="0093486F"/>
    <w:rsid w:val="00935871"/>
    <w:rsid w:val="00935AEA"/>
    <w:rsid w:val="00935F18"/>
    <w:rsid w:val="00936188"/>
    <w:rsid w:val="00937020"/>
    <w:rsid w:val="009373B4"/>
    <w:rsid w:val="00937E84"/>
    <w:rsid w:val="00940350"/>
    <w:rsid w:val="0094260D"/>
    <w:rsid w:val="00943EA9"/>
    <w:rsid w:val="00944F32"/>
    <w:rsid w:val="009467CE"/>
    <w:rsid w:val="00947BAB"/>
    <w:rsid w:val="009515F7"/>
    <w:rsid w:val="00952534"/>
    <w:rsid w:val="009528AE"/>
    <w:rsid w:val="009538E9"/>
    <w:rsid w:val="00953D1D"/>
    <w:rsid w:val="00954051"/>
    <w:rsid w:val="00954092"/>
    <w:rsid w:val="00955D27"/>
    <w:rsid w:val="0095626B"/>
    <w:rsid w:val="0095769E"/>
    <w:rsid w:val="00957A45"/>
    <w:rsid w:val="00957E0B"/>
    <w:rsid w:val="00961425"/>
    <w:rsid w:val="0096174C"/>
    <w:rsid w:val="009623EA"/>
    <w:rsid w:val="009637B9"/>
    <w:rsid w:val="0096408B"/>
    <w:rsid w:val="009654F5"/>
    <w:rsid w:val="0096574C"/>
    <w:rsid w:val="00965A59"/>
    <w:rsid w:val="00966652"/>
    <w:rsid w:val="00966C49"/>
    <w:rsid w:val="00967BEA"/>
    <w:rsid w:val="00971554"/>
    <w:rsid w:val="00972083"/>
    <w:rsid w:val="00973A47"/>
    <w:rsid w:val="00973E37"/>
    <w:rsid w:val="00974094"/>
    <w:rsid w:val="00976E5F"/>
    <w:rsid w:val="009773E5"/>
    <w:rsid w:val="00977D72"/>
    <w:rsid w:val="0098038B"/>
    <w:rsid w:val="0098065A"/>
    <w:rsid w:val="0098116F"/>
    <w:rsid w:val="009813EB"/>
    <w:rsid w:val="009839C1"/>
    <w:rsid w:val="00984E27"/>
    <w:rsid w:val="00985F92"/>
    <w:rsid w:val="00985FBC"/>
    <w:rsid w:val="00986F22"/>
    <w:rsid w:val="0099063B"/>
    <w:rsid w:val="009908E2"/>
    <w:rsid w:val="00990B78"/>
    <w:rsid w:val="0099302B"/>
    <w:rsid w:val="00993D74"/>
    <w:rsid w:val="00993DBF"/>
    <w:rsid w:val="00994AD6"/>
    <w:rsid w:val="00994DB8"/>
    <w:rsid w:val="00994E86"/>
    <w:rsid w:val="0099530E"/>
    <w:rsid w:val="00995BCF"/>
    <w:rsid w:val="00996574"/>
    <w:rsid w:val="009966EA"/>
    <w:rsid w:val="00996E42"/>
    <w:rsid w:val="00997795"/>
    <w:rsid w:val="00997D5D"/>
    <w:rsid w:val="00997FB3"/>
    <w:rsid w:val="009A0240"/>
    <w:rsid w:val="009A04D0"/>
    <w:rsid w:val="009A064B"/>
    <w:rsid w:val="009A084E"/>
    <w:rsid w:val="009A18EE"/>
    <w:rsid w:val="009A266C"/>
    <w:rsid w:val="009A3BB0"/>
    <w:rsid w:val="009A3DDA"/>
    <w:rsid w:val="009A4465"/>
    <w:rsid w:val="009A456B"/>
    <w:rsid w:val="009A4AA8"/>
    <w:rsid w:val="009A5847"/>
    <w:rsid w:val="009A61D1"/>
    <w:rsid w:val="009A65F9"/>
    <w:rsid w:val="009A69B9"/>
    <w:rsid w:val="009B0319"/>
    <w:rsid w:val="009B09BA"/>
    <w:rsid w:val="009B1961"/>
    <w:rsid w:val="009B3134"/>
    <w:rsid w:val="009B3946"/>
    <w:rsid w:val="009B3999"/>
    <w:rsid w:val="009B3C7B"/>
    <w:rsid w:val="009B517F"/>
    <w:rsid w:val="009B5DFC"/>
    <w:rsid w:val="009B63BC"/>
    <w:rsid w:val="009B6A13"/>
    <w:rsid w:val="009B7660"/>
    <w:rsid w:val="009B786C"/>
    <w:rsid w:val="009B7D8D"/>
    <w:rsid w:val="009C0AB3"/>
    <w:rsid w:val="009C0DC8"/>
    <w:rsid w:val="009C108F"/>
    <w:rsid w:val="009C14B1"/>
    <w:rsid w:val="009C1986"/>
    <w:rsid w:val="009C1BAD"/>
    <w:rsid w:val="009C1ECD"/>
    <w:rsid w:val="009C3DFB"/>
    <w:rsid w:val="009C3E13"/>
    <w:rsid w:val="009C4B3F"/>
    <w:rsid w:val="009C5A6F"/>
    <w:rsid w:val="009C5BC5"/>
    <w:rsid w:val="009C5FD1"/>
    <w:rsid w:val="009C6318"/>
    <w:rsid w:val="009C69FA"/>
    <w:rsid w:val="009D293B"/>
    <w:rsid w:val="009D31F7"/>
    <w:rsid w:val="009D3898"/>
    <w:rsid w:val="009D3924"/>
    <w:rsid w:val="009D3ED4"/>
    <w:rsid w:val="009D40E4"/>
    <w:rsid w:val="009D58DD"/>
    <w:rsid w:val="009D6692"/>
    <w:rsid w:val="009D6950"/>
    <w:rsid w:val="009D6C94"/>
    <w:rsid w:val="009E2511"/>
    <w:rsid w:val="009E3358"/>
    <w:rsid w:val="009E3462"/>
    <w:rsid w:val="009E3527"/>
    <w:rsid w:val="009E37B1"/>
    <w:rsid w:val="009E3C38"/>
    <w:rsid w:val="009E5546"/>
    <w:rsid w:val="009E5D06"/>
    <w:rsid w:val="009E6397"/>
    <w:rsid w:val="009E6809"/>
    <w:rsid w:val="009E73A4"/>
    <w:rsid w:val="009E7A91"/>
    <w:rsid w:val="009F2129"/>
    <w:rsid w:val="009F2199"/>
    <w:rsid w:val="009F30FE"/>
    <w:rsid w:val="009F3334"/>
    <w:rsid w:val="009F3E6B"/>
    <w:rsid w:val="009F4F3E"/>
    <w:rsid w:val="009F5259"/>
    <w:rsid w:val="009F5324"/>
    <w:rsid w:val="009F5DF7"/>
    <w:rsid w:val="009F5E9B"/>
    <w:rsid w:val="009F6FDD"/>
    <w:rsid w:val="009F7EB4"/>
    <w:rsid w:val="00A0051A"/>
    <w:rsid w:val="00A0053A"/>
    <w:rsid w:val="00A01466"/>
    <w:rsid w:val="00A014D2"/>
    <w:rsid w:val="00A01977"/>
    <w:rsid w:val="00A024F5"/>
    <w:rsid w:val="00A02710"/>
    <w:rsid w:val="00A029F1"/>
    <w:rsid w:val="00A02C02"/>
    <w:rsid w:val="00A03618"/>
    <w:rsid w:val="00A03CB9"/>
    <w:rsid w:val="00A05908"/>
    <w:rsid w:val="00A075A2"/>
    <w:rsid w:val="00A1089F"/>
    <w:rsid w:val="00A12CAB"/>
    <w:rsid w:val="00A147F9"/>
    <w:rsid w:val="00A14FFE"/>
    <w:rsid w:val="00A15D02"/>
    <w:rsid w:val="00A21379"/>
    <w:rsid w:val="00A21ADC"/>
    <w:rsid w:val="00A2286F"/>
    <w:rsid w:val="00A22BB6"/>
    <w:rsid w:val="00A23845"/>
    <w:rsid w:val="00A23910"/>
    <w:rsid w:val="00A24455"/>
    <w:rsid w:val="00A250A8"/>
    <w:rsid w:val="00A250F8"/>
    <w:rsid w:val="00A27017"/>
    <w:rsid w:val="00A27314"/>
    <w:rsid w:val="00A27EC9"/>
    <w:rsid w:val="00A30302"/>
    <w:rsid w:val="00A3105A"/>
    <w:rsid w:val="00A314AC"/>
    <w:rsid w:val="00A31980"/>
    <w:rsid w:val="00A321A9"/>
    <w:rsid w:val="00A3228D"/>
    <w:rsid w:val="00A32A53"/>
    <w:rsid w:val="00A335C3"/>
    <w:rsid w:val="00A34BBF"/>
    <w:rsid w:val="00A40087"/>
    <w:rsid w:val="00A40615"/>
    <w:rsid w:val="00A410F8"/>
    <w:rsid w:val="00A41C52"/>
    <w:rsid w:val="00A4238F"/>
    <w:rsid w:val="00A424FC"/>
    <w:rsid w:val="00A4285E"/>
    <w:rsid w:val="00A44662"/>
    <w:rsid w:val="00A449A4"/>
    <w:rsid w:val="00A45672"/>
    <w:rsid w:val="00A45764"/>
    <w:rsid w:val="00A47258"/>
    <w:rsid w:val="00A475AC"/>
    <w:rsid w:val="00A479CD"/>
    <w:rsid w:val="00A51781"/>
    <w:rsid w:val="00A519FF"/>
    <w:rsid w:val="00A51AC4"/>
    <w:rsid w:val="00A52D1C"/>
    <w:rsid w:val="00A52DBC"/>
    <w:rsid w:val="00A53704"/>
    <w:rsid w:val="00A53BA0"/>
    <w:rsid w:val="00A53F85"/>
    <w:rsid w:val="00A548CC"/>
    <w:rsid w:val="00A5563C"/>
    <w:rsid w:val="00A561BE"/>
    <w:rsid w:val="00A5649B"/>
    <w:rsid w:val="00A60861"/>
    <w:rsid w:val="00A61037"/>
    <w:rsid w:val="00A61447"/>
    <w:rsid w:val="00A617C3"/>
    <w:rsid w:val="00A62F04"/>
    <w:rsid w:val="00A6397F"/>
    <w:rsid w:val="00A6399D"/>
    <w:rsid w:val="00A63FD8"/>
    <w:rsid w:val="00A64942"/>
    <w:rsid w:val="00A655FB"/>
    <w:rsid w:val="00A65CD3"/>
    <w:rsid w:val="00A65DE7"/>
    <w:rsid w:val="00A6643E"/>
    <w:rsid w:val="00A664B1"/>
    <w:rsid w:val="00A66E4E"/>
    <w:rsid w:val="00A67E7C"/>
    <w:rsid w:val="00A67F6F"/>
    <w:rsid w:val="00A67F79"/>
    <w:rsid w:val="00A7007B"/>
    <w:rsid w:val="00A70674"/>
    <w:rsid w:val="00A70A33"/>
    <w:rsid w:val="00A71C81"/>
    <w:rsid w:val="00A7266E"/>
    <w:rsid w:val="00A72A92"/>
    <w:rsid w:val="00A7553F"/>
    <w:rsid w:val="00A77323"/>
    <w:rsid w:val="00A813DD"/>
    <w:rsid w:val="00A826E4"/>
    <w:rsid w:val="00A83397"/>
    <w:rsid w:val="00A84792"/>
    <w:rsid w:val="00A86048"/>
    <w:rsid w:val="00A878EC"/>
    <w:rsid w:val="00A90AC0"/>
    <w:rsid w:val="00A91671"/>
    <w:rsid w:val="00A93663"/>
    <w:rsid w:val="00A94018"/>
    <w:rsid w:val="00A944E7"/>
    <w:rsid w:val="00A94908"/>
    <w:rsid w:val="00A94BD8"/>
    <w:rsid w:val="00A953DE"/>
    <w:rsid w:val="00A9562F"/>
    <w:rsid w:val="00A95F17"/>
    <w:rsid w:val="00A9658C"/>
    <w:rsid w:val="00A9677B"/>
    <w:rsid w:val="00AA03EC"/>
    <w:rsid w:val="00AA1996"/>
    <w:rsid w:val="00AA1C86"/>
    <w:rsid w:val="00AA243B"/>
    <w:rsid w:val="00AA2D1E"/>
    <w:rsid w:val="00AA32D6"/>
    <w:rsid w:val="00AA3EED"/>
    <w:rsid w:val="00AA5052"/>
    <w:rsid w:val="00AA51A3"/>
    <w:rsid w:val="00AA51E6"/>
    <w:rsid w:val="00AA7307"/>
    <w:rsid w:val="00AA7731"/>
    <w:rsid w:val="00AA7A20"/>
    <w:rsid w:val="00AB02C6"/>
    <w:rsid w:val="00AB1650"/>
    <w:rsid w:val="00AB24D6"/>
    <w:rsid w:val="00AB4015"/>
    <w:rsid w:val="00AB4029"/>
    <w:rsid w:val="00AB4309"/>
    <w:rsid w:val="00AB52B4"/>
    <w:rsid w:val="00AB554B"/>
    <w:rsid w:val="00AB57C8"/>
    <w:rsid w:val="00AB5D49"/>
    <w:rsid w:val="00AB5E97"/>
    <w:rsid w:val="00AB61D3"/>
    <w:rsid w:val="00AB6858"/>
    <w:rsid w:val="00AB6ACD"/>
    <w:rsid w:val="00AB6CBA"/>
    <w:rsid w:val="00AC0A1E"/>
    <w:rsid w:val="00AC143F"/>
    <w:rsid w:val="00AC3D76"/>
    <w:rsid w:val="00AC4A54"/>
    <w:rsid w:val="00AC4A59"/>
    <w:rsid w:val="00AC5E23"/>
    <w:rsid w:val="00AC625C"/>
    <w:rsid w:val="00AC6764"/>
    <w:rsid w:val="00AC6BBB"/>
    <w:rsid w:val="00AC6DC2"/>
    <w:rsid w:val="00AD09B2"/>
    <w:rsid w:val="00AD2383"/>
    <w:rsid w:val="00AD27E9"/>
    <w:rsid w:val="00AD49E8"/>
    <w:rsid w:val="00AD61B2"/>
    <w:rsid w:val="00AD62E8"/>
    <w:rsid w:val="00AD677D"/>
    <w:rsid w:val="00AD7080"/>
    <w:rsid w:val="00AD70CE"/>
    <w:rsid w:val="00AD7E10"/>
    <w:rsid w:val="00AE023A"/>
    <w:rsid w:val="00AE10AD"/>
    <w:rsid w:val="00AE13D1"/>
    <w:rsid w:val="00AE382F"/>
    <w:rsid w:val="00AE3F37"/>
    <w:rsid w:val="00AE5CAF"/>
    <w:rsid w:val="00AE69E4"/>
    <w:rsid w:val="00AE6E05"/>
    <w:rsid w:val="00AE6FDA"/>
    <w:rsid w:val="00AE74A4"/>
    <w:rsid w:val="00AF03A1"/>
    <w:rsid w:val="00AF070C"/>
    <w:rsid w:val="00AF1B2E"/>
    <w:rsid w:val="00AF1D00"/>
    <w:rsid w:val="00AF33C5"/>
    <w:rsid w:val="00AF3682"/>
    <w:rsid w:val="00AF3DC7"/>
    <w:rsid w:val="00AF4117"/>
    <w:rsid w:val="00AF5060"/>
    <w:rsid w:val="00AF51D8"/>
    <w:rsid w:val="00AF5CCE"/>
    <w:rsid w:val="00AF7780"/>
    <w:rsid w:val="00AF7A4E"/>
    <w:rsid w:val="00AF7F9D"/>
    <w:rsid w:val="00B00356"/>
    <w:rsid w:val="00B003A2"/>
    <w:rsid w:val="00B00494"/>
    <w:rsid w:val="00B01602"/>
    <w:rsid w:val="00B01C45"/>
    <w:rsid w:val="00B025FA"/>
    <w:rsid w:val="00B02C42"/>
    <w:rsid w:val="00B05FCA"/>
    <w:rsid w:val="00B06316"/>
    <w:rsid w:val="00B06AB7"/>
    <w:rsid w:val="00B06F5C"/>
    <w:rsid w:val="00B07995"/>
    <w:rsid w:val="00B10158"/>
    <w:rsid w:val="00B11449"/>
    <w:rsid w:val="00B11977"/>
    <w:rsid w:val="00B12BEA"/>
    <w:rsid w:val="00B1335E"/>
    <w:rsid w:val="00B14D81"/>
    <w:rsid w:val="00B15B98"/>
    <w:rsid w:val="00B16476"/>
    <w:rsid w:val="00B16B91"/>
    <w:rsid w:val="00B16E48"/>
    <w:rsid w:val="00B1744C"/>
    <w:rsid w:val="00B17A4E"/>
    <w:rsid w:val="00B17EA4"/>
    <w:rsid w:val="00B2003D"/>
    <w:rsid w:val="00B203A6"/>
    <w:rsid w:val="00B221D8"/>
    <w:rsid w:val="00B2224E"/>
    <w:rsid w:val="00B229BB"/>
    <w:rsid w:val="00B23725"/>
    <w:rsid w:val="00B23C16"/>
    <w:rsid w:val="00B23E03"/>
    <w:rsid w:val="00B257B4"/>
    <w:rsid w:val="00B257CB"/>
    <w:rsid w:val="00B258F7"/>
    <w:rsid w:val="00B2691A"/>
    <w:rsid w:val="00B27444"/>
    <w:rsid w:val="00B27646"/>
    <w:rsid w:val="00B30592"/>
    <w:rsid w:val="00B30C73"/>
    <w:rsid w:val="00B31D66"/>
    <w:rsid w:val="00B32048"/>
    <w:rsid w:val="00B330CA"/>
    <w:rsid w:val="00B33197"/>
    <w:rsid w:val="00B34625"/>
    <w:rsid w:val="00B36417"/>
    <w:rsid w:val="00B36D46"/>
    <w:rsid w:val="00B36FC2"/>
    <w:rsid w:val="00B371BD"/>
    <w:rsid w:val="00B402C7"/>
    <w:rsid w:val="00B40810"/>
    <w:rsid w:val="00B40A69"/>
    <w:rsid w:val="00B41123"/>
    <w:rsid w:val="00B41243"/>
    <w:rsid w:val="00B414FA"/>
    <w:rsid w:val="00B433D6"/>
    <w:rsid w:val="00B43F04"/>
    <w:rsid w:val="00B43FB2"/>
    <w:rsid w:val="00B45456"/>
    <w:rsid w:val="00B45465"/>
    <w:rsid w:val="00B503E2"/>
    <w:rsid w:val="00B5155D"/>
    <w:rsid w:val="00B51A92"/>
    <w:rsid w:val="00B51E6F"/>
    <w:rsid w:val="00B53AF1"/>
    <w:rsid w:val="00B56FDA"/>
    <w:rsid w:val="00B575B3"/>
    <w:rsid w:val="00B57D23"/>
    <w:rsid w:val="00B6067F"/>
    <w:rsid w:val="00B613FC"/>
    <w:rsid w:val="00B6147F"/>
    <w:rsid w:val="00B61D7D"/>
    <w:rsid w:val="00B62474"/>
    <w:rsid w:val="00B62FB1"/>
    <w:rsid w:val="00B640B9"/>
    <w:rsid w:val="00B644D7"/>
    <w:rsid w:val="00B65E0E"/>
    <w:rsid w:val="00B666BB"/>
    <w:rsid w:val="00B66B88"/>
    <w:rsid w:val="00B66E3C"/>
    <w:rsid w:val="00B67030"/>
    <w:rsid w:val="00B671AD"/>
    <w:rsid w:val="00B6757B"/>
    <w:rsid w:val="00B67FB9"/>
    <w:rsid w:val="00B70963"/>
    <w:rsid w:val="00B71A46"/>
    <w:rsid w:val="00B72063"/>
    <w:rsid w:val="00B7284D"/>
    <w:rsid w:val="00B73391"/>
    <w:rsid w:val="00B73D5C"/>
    <w:rsid w:val="00B74713"/>
    <w:rsid w:val="00B74E0F"/>
    <w:rsid w:val="00B755AE"/>
    <w:rsid w:val="00B75971"/>
    <w:rsid w:val="00B7632D"/>
    <w:rsid w:val="00B7651C"/>
    <w:rsid w:val="00B76780"/>
    <w:rsid w:val="00B76930"/>
    <w:rsid w:val="00B806E1"/>
    <w:rsid w:val="00B80AC4"/>
    <w:rsid w:val="00B825BF"/>
    <w:rsid w:val="00B82AFE"/>
    <w:rsid w:val="00B83851"/>
    <w:rsid w:val="00B8430A"/>
    <w:rsid w:val="00B85980"/>
    <w:rsid w:val="00B85BDF"/>
    <w:rsid w:val="00B85C58"/>
    <w:rsid w:val="00B86386"/>
    <w:rsid w:val="00B866C2"/>
    <w:rsid w:val="00B868AF"/>
    <w:rsid w:val="00B86C53"/>
    <w:rsid w:val="00B86EBB"/>
    <w:rsid w:val="00B872BF"/>
    <w:rsid w:val="00B8787E"/>
    <w:rsid w:val="00B91F22"/>
    <w:rsid w:val="00B92865"/>
    <w:rsid w:val="00B932B9"/>
    <w:rsid w:val="00B93423"/>
    <w:rsid w:val="00B9428D"/>
    <w:rsid w:val="00B94DB0"/>
    <w:rsid w:val="00B955E9"/>
    <w:rsid w:val="00B95B86"/>
    <w:rsid w:val="00B96524"/>
    <w:rsid w:val="00B9657E"/>
    <w:rsid w:val="00B96946"/>
    <w:rsid w:val="00B97AB2"/>
    <w:rsid w:val="00BA0A04"/>
    <w:rsid w:val="00BA16B2"/>
    <w:rsid w:val="00BA211B"/>
    <w:rsid w:val="00BA23FA"/>
    <w:rsid w:val="00BA2CBF"/>
    <w:rsid w:val="00BA2DC2"/>
    <w:rsid w:val="00BA3B90"/>
    <w:rsid w:val="00BA4686"/>
    <w:rsid w:val="00BA5462"/>
    <w:rsid w:val="00BA5D5E"/>
    <w:rsid w:val="00BA79E8"/>
    <w:rsid w:val="00BA7B36"/>
    <w:rsid w:val="00BB19A0"/>
    <w:rsid w:val="00BB1A76"/>
    <w:rsid w:val="00BB1E47"/>
    <w:rsid w:val="00BB22F0"/>
    <w:rsid w:val="00BB2C3E"/>
    <w:rsid w:val="00BB336B"/>
    <w:rsid w:val="00BB4708"/>
    <w:rsid w:val="00BB4BAF"/>
    <w:rsid w:val="00BB51AC"/>
    <w:rsid w:val="00BB5FE0"/>
    <w:rsid w:val="00BB6192"/>
    <w:rsid w:val="00BB6873"/>
    <w:rsid w:val="00BB6A19"/>
    <w:rsid w:val="00BB6A69"/>
    <w:rsid w:val="00BB7350"/>
    <w:rsid w:val="00BC0722"/>
    <w:rsid w:val="00BC08CB"/>
    <w:rsid w:val="00BC08CF"/>
    <w:rsid w:val="00BC0BC7"/>
    <w:rsid w:val="00BC13A6"/>
    <w:rsid w:val="00BC2CB0"/>
    <w:rsid w:val="00BC3AA6"/>
    <w:rsid w:val="00BC3E2B"/>
    <w:rsid w:val="00BC6F8C"/>
    <w:rsid w:val="00BD2076"/>
    <w:rsid w:val="00BD29DE"/>
    <w:rsid w:val="00BD2F85"/>
    <w:rsid w:val="00BD3B3A"/>
    <w:rsid w:val="00BD4ED7"/>
    <w:rsid w:val="00BD509D"/>
    <w:rsid w:val="00BD5DEE"/>
    <w:rsid w:val="00BD5F55"/>
    <w:rsid w:val="00BD624F"/>
    <w:rsid w:val="00BD6F83"/>
    <w:rsid w:val="00BD7CFB"/>
    <w:rsid w:val="00BD7D28"/>
    <w:rsid w:val="00BE0AF3"/>
    <w:rsid w:val="00BE16E9"/>
    <w:rsid w:val="00BE350C"/>
    <w:rsid w:val="00BE3986"/>
    <w:rsid w:val="00BE4224"/>
    <w:rsid w:val="00BE6D97"/>
    <w:rsid w:val="00BE74C4"/>
    <w:rsid w:val="00BE7DEE"/>
    <w:rsid w:val="00BF06E8"/>
    <w:rsid w:val="00BF1017"/>
    <w:rsid w:val="00BF12B1"/>
    <w:rsid w:val="00BF1381"/>
    <w:rsid w:val="00BF27A0"/>
    <w:rsid w:val="00BF3A26"/>
    <w:rsid w:val="00BF3FB3"/>
    <w:rsid w:val="00BF48AA"/>
    <w:rsid w:val="00BF5293"/>
    <w:rsid w:val="00BF5A88"/>
    <w:rsid w:val="00BF614C"/>
    <w:rsid w:val="00BF65B9"/>
    <w:rsid w:val="00BF70FF"/>
    <w:rsid w:val="00BF7B96"/>
    <w:rsid w:val="00BF7FEC"/>
    <w:rsid w:val="00C000E8"/>
    <w:rsid w:val="00C0093F"/>
    <w:rsid w:val="00C00B5E"/>
    <w:rsid w:val="00C00D07"/>
    <w:rsid w:val="00C01D66"/>
    <w:rsid w:val="00C02D54"/>
    <w:rsid w:val="00C02E4C"/>
    <w:rsid w:val="00C05748"/>
    <w:rsid w:val="00C057EF"/>
    <w:rsid w:val="00C06841"/>
    <w:rsid w:val="00C06ACC"/>
    <w:rsid w:val="00C06E63"/>
    <w:rsid w:val="00C074F6"/>
    <w:rsid w:val="00C07B18"/>
    <w:rsid w:val="00C105CC"/>
    <w:rsid w:val="00C116F2"/>
    <w:rsid w:val="00C119EE"/>
    <w:rsid w:val="00C12ED6"/>
    <w:rsid w:val="00C13082"/>
    <w:rsid w:val="00C13E8E"/>
    <w:rsid w:val="00C14044"/>
    <w:rsid w:val="00C14346"/>
    <w:rsid w:val="00C14637"/>
    <w:rsid w:val="00C1571E"/>
    <w:rsid w:val="00C15849"/>
    <w:rsid w:val="00C166E1"/>
    <w:rsid w:val="00C16E63"/>
    <w:rsid w:val="00C17133"/>
    <w:rsid w:val="00C17A75"/>
    <w:rsid w:val="00C2015A"/>
    <w:rsid w:val="00C21327"/>
    <w:rsid w:val="00C215B2"/>
    <w:rsid w:val="00C238EB"/>
    <w:rsid w:val="00C24784"/>
    <w:rsid w:val="00C25014"/>
    <w:rsid w:val="00C252C6"/>
    <w:rsid w:val="00C272B6"/>
    <w:rsid w:val="00C27380"/>
    <w:rsid w:val="00C27711"/>
    <w:rsid w:val="00C27DD7"/>
    <w:rsid w:val="00C31363"/>
    <w:rsid w:val="00C31440"/>
    <w:rsid w:val="00C32953"/>
    <w:rsid w:val="00C34B46"/>
    <w:rsid w:val="00C34D0B"/>
    <w:rsid w:val="00C36BE6"/>
    <w:rsid w:val="00C36F76"/>
    <w:rsid w:val="00C378A1"/>
    <w:rsid w:val="00C4036A"/>
    <w:rsid w:val="00C40857"/>
    <w:rsid w:val="00C40A5C"/>
    <w:rsid w:val="00C41984"/>
    <w:rsid w:val="00C432D1"/>
    <w:rsid w:val="00C441C2"/>
    <w:rsid w:val="00C4474F"/>
    <w:rsid w:val="00C45B01"/>
    <w:rsid w:val="00C46EC5"/>
    <w:rsid w:val="00C47B9D"/>
    <w:rsid w:val="00C50720"/>
    <w:rsid w:val="00C50F58"/>
    <w:rsid w:val="00C51495"/>
    <w:rsid w:val="00C5230B"/>
    <w:rsid w:val="00C52593"/>
    <w:rsid w:val="00C52793"/>
    <w:rsid w:val="00C52A0A"/>
    <w:rsid w:val="00C52F86"/>
    <w:rsid w:val="00C547A6"/>
    <w:rsid w:val="00C54A40"/>
    <w:rsid w:val="00C54B43"/>
    <w:rsid w:val="00C579F7"/>
    <w:rsid w:val="00C605D0"/>
    <w:rsid w:val="00C6083C"/>
    <w:rsid w:val="00C61564"/>
    <w:rsid w:val="00C62A9A"/>
    <w:rsid w:val="00C62AA0"/>
    <w:rsid w:val="00C63057"/>
    <w:rsid w:val="00C63A42"/>
    <w:rsid w:val="00C6659A"/>
    <w:rsid w:val="00C67F11"/>
    <w:rsid w:val="00C70836"/>
    <w:rsid w:val="00C71142"/>
    <w:rsid w:val="00C711C3"/>
    <w:rsid w:val="00C71D2B"/>
    <w:rsid w:val="00C72C66"/>
    <w:rsid w:val="00C739E0"/>
    <w:rsid w:val="00C73EB1"/>
    <w:rsid w:val="00C74BCB"/>
    <w:rsid w:val="00C75157"/>
    <w:rsid w:val="00C7597B"/>
    <w:rsid w:val="00C75C10"/>
    <w:rsid w:val="00C77112"/>
    <w:rsid w:val="00C773AC"/>
    <w:rsid w:val="00C7758B"/>
    <w:rsid w:val="00C77B69"/>
    <w:rsid w:val="00C8094E"/>
    <w:rsid w:val="00C80ED3"/>
    <w:rsid w:val="00C811EF"/>
    <w:rsid w:val="00C81549"/>
    <w:rsid w:val="00C8165F"/>
    <w:rsid w:val="00C81867"/>
    <w:rsid w:val="00C826A4"/>
    <w:rsid w:val="00C826C1"/>
    <w:rsid w:val="00C83059"/>
    <w:rsid w:val="00C83BF9"/>
    <w:rsid w:val="00C8426B"/>
    <w:rsid w:val="00C84C7D"/>
    <w:rsid w:val="00C84E3B"/>
    <w:rsid w:val="00C866CF"/>
    <w:rsid w:val="00C90312"/>
    <w:rsid w:val="00C905D5"/>
    <w:rsid w:val="00C91335"/>
    <w:rsid w:val="00C914A7"/>
    <w:rsid w:val="00C91DD2"/>
    <w:rsid w:val="00C92E62"/>
    <w:rsid w:val="00C935F2"/>
    <w:rsid w:val="00C942E1"/>
    <w:rsid w:val="00C94372"/>
    <w:rsid w:val="00C95AB1"/>
    <w:rsid w:val="00C960D7"/>
    <w:rsid w:val="00C96D47"/>
    <w:rsid w:val="00C970F3"/>
    <w:rsid w:val="00C97D9E"/>
    <w:rsid w:val="00CA0553"/>
    <w:rsid w:val="00CA05A0"/>
    <w:rsid w:val="00CA0BC5"/>
    <w:rsid w:val="00CA1162"/>
    <w:rsid w:val="00CA1D1F"/>
    <w:rsid w:val="00CA2021"/>
    <w:rsid w:val="00CA2096"/>
    <w:rsid w:val="00CA2AB3"/>
    <w:rsid w:val="00CA4429"/>
    <w:rsid w:val="00CA4AC9"/>
    <w:rsid w:val="00CA4E53"/>
    <w:rsid w:val="00CA6742"/>
    <w:rsid w:val="00CA692A"/>
    <w:rsid w:val="00CA7385"/>
    <w:rsid w:val="00CA7914"/>
    <w:rsid w:val="00CB0E86"/>
    <w:rsid w:val="00CB1B56"/>
    <w:rsid w:val="00CB26A8"/>
    <w:rsid w:val="00CB27C6"/>
    <w:rsid w:val="00CB3A6B"/>
    <w:rsid w:val="00CB44BF"/>
    <w:rsid w:val="00CB5EB8"/>
    <w:rsid w:val="00CB61E2"/>
    <w:rsid w:val="00CB6488"/>
    <w:rsid w:val="00CB6924"/>
    <w:rsid w:val="00CB6F0D"/>
    <w:rsid w:val="00CB700D"/>
    <w:rsid w:val="00CB724E"/>
    <w:rsid w:val="00CB73A3"/>
    <w:rsid w:val="00CC33AC"/>
    <w:rsid w:val="00CC3E7C"/>
    <w:rsid w:val="00CC419E"/>
    <w:rsid w:val="00CC4248"/>
    <w:rsid w:val="00CC472F"/>
    <w:rsid w:val="00CC5D45"/>
    <w:rsid w:val="00CC7AA4"/>
    <w:rsid w:val="00CC7FEB"/>
    <w:rsid w:val="00CD0062"/>
    <w:rsid w:val="00CD020B"/>
    <w:rsid w:val="00CD0453"/>
    <w:rsid w:val="00CD0DC8"/>
    <w:rsid w:val="00CD12EF"/>
    <w:rsid w:val="00CD3A79"/>
    <w:rsid w:val="00CD4D8F"/>
    <w:rsid w:val="00CD57B0"/>
    <w:rsid w:val="00CD66B7"/>
    <w:rsid w:val="00CD7064"/>
    <w:rsid w:val="00CD7220"/>
    <w:rsid w:val="00CE02FA"/>
    <w:rsid w:val="00CE10AA"/>
    <w:rsid w:val="00CE1171"/>
    <w:rsid w:val="00CE165A"/>
    <w:rsid w:val="00CE332A"/>
    <w:rsid w:val="00CE33E9"/>
    <w:rsid w:val="00CE46FB"/>
    <w:rsid w:val="00CE6997"/>
    <w:rsid w:val="00CE7F9B"/>
    <w:rsid w:val="00CF203C"/>
    <w:rsid w:val="00CF22F7"/>
    <w:rsid w:val="00CF3227"/>
    <w:rsid w:val="00CF3FC8"/>
    <w:rsid w:val="00CF4A19"/>
    <w:rsid w:val="00CF4DAB"/>
    <w:rsid w:val="00CF6225"/>
    <w:rsid w:val="00CF6E87"/>
    <w:rsid w:val="00CF6EF0"/>
    <w:rsid w:val="00D00528"/>
    <w:rsid w:val="00D00683"/>
    <w:rsid w:val="00D0074E"/>
    <w:rsid w:val="00D0085A"/>
    <w:rsid w:val="00D00B94"/>
    <w:rsid w:val="00D00C57"/>
    <w:rsid w:val="00D01D96"/>
    <w:rsid w:val="00D01E56"/>
    <w:rsid w:val="00D02F42"/>
    <w:rsid w:val="00D0324B"/>
    <w:rsid w:val="00D0344C"/>
    <w:rsid w:val="00D0459C"/>
    <w:rsid w:val="00D05BDD"/>
    <w:rsid w:val="00D0601A"/>
    <w:rsid w:val="00D07463"/>
    <w:rsid w:val="00D106CC"/>
    <w:rsid w:val="00D1117D"/>
    <w:rsid w:val="00D1133D"/>
    <w:rsid w:val="00D1277C"/>
    <w:rsid w:val="00D12B53"/>
    <w:rsid w:val="00D13A7A"/>
    <w:rsid w:val="00D1423F"/>
    <w:rsid w:val="00D14297"/>
    <w:rsid w:val="00D14619"/>
    <w:rsid w:val="00D147BF"/>
    <w:rsid w:val="00D1612B"/>
    <w:rsid w:val="00D16BA4"/>
    <w:rsid w:val="00D16D29"/>
    <w:rsid w:val="00D2029B"/>
    <w:rsid w:val="00D206E8"/>
    <w:rsid w:val="00D21196"/>
    <w:rsid w:val="00D21652"/>
    <w:rsid w:val="00D21C1C"/>
    <w:rsid w:val="00D220DD"/>
    <w:rsid w:val="00D234F8"/>
    <w:rsid w:val="00D2581A"/>
    <w:rsid w:val="00D2633F"/>
    <w:rsid w:val="00D268C2"/>
    <w:rsid w:val="00D27390"/>
    <w:rsid w:val="00D30085"/>
    <w:rsid w:val="00D306C4"/>
    <w:rsid w:val="00D322AF"/>
    <w:rsid w:val="00D33151"/>
    <w:rsid w:val="00D34C9C"/>
    <w:rsid w:val="00D363C1"/>
    <w:rsid w:val="00D3761F"/>
    <w:rsid w:val="00D405DC"/>
    <w:rsid w:val="00D4060B"/>
    <w:rsid w:val="00D41704"/>
    <w:rsid w:val="00D4194E"/>
    <w:rsid w:val="00D419B0"/>
    <w:rsid w:val="00D42CED"/>
    <w:rsid w:val="00D43E3A"/>
    <w:rsid w:val="00D449C3"/>
    <w:rsid w:val="00D457A5"/>
    <w:rsid w:val="00D45CF4"/>
    <w:rsid w:val="00D46A3B"/>
    <w:rsid w:val="00D46C79"/>
    <w:rsid w:val="00D475E1"/>
    <w:rsid w:val="00D50DFD"/>
    <w:rsid w:val="00D52CA4"/>
    <w:rsid w:val="00D53032"/>
    <w:rsid w:val="00D535D2"/>
    <w:rsid w:val="00D53C64"/>
    <w:rsid w:val="00D53F20"/>
    <w:rsid w:val="00D5516B"/>
    <w:rsid w:val="00D56367"/>
    <w:rsid w:val="00D5637D"/>
    <w:rsid w:val="00D56A89"/>
    <w:rsid w:val="00D57155"/>
    <w:rsid w:val="00D60CB8"/>
    <w:rsid w:val="00D61A1A"/>
    <w:rsid w:val="00D63652"/>
    <w:rsid w:val="00D63EE9"/>
    <w:rsid w:val="00D64226"/>
    <w:rsid w:val="00D6443A"/>
    <w:rsid w:val="00D64E25"/>
    <w:rsid w:val="00D64E99"/>
    <w:rsid w:val="00D651BC"/>
    <w:rsid w:val="00D65F46"/>
    <w:rsid w:val="00D67D41"/>
    <w:rsid w:val="00D67E06"/>
    <w:rsid w:val="00D712AE"/>
    <w:rsid w:val="00D713C4"/>
    <w:rsid w:val="00D7198A"/>
    <w:rsid w:val="00D73D63"/>
    <w:rsid w:val="00D7424F"/>
    <w:rsid w:val="00D7670A"/>
    <w:rsid w:val="00D76950"/>
    <w:rsid w:val="00D80162"/>
    <w:rsid w:val="00D8080B"/>
    <w:rsid w:val="00D81093"/>
    <w:rsid w:val="00D810C7"/>
    <w:rsid w:val="00D8128A"/>
    <w:rsid w:val="00D81A41"/>
    <w:rsid w:val="00D81E3E"/>
    <w:rsid w:val="00D81E83"/>
    <w:rsid w:val="00D82312"/>
    <w:rsid w:val="00D83514"/>
    <w:rsid w:val="00D836D5"/>
    <w:rsid w:val="00D836F1"/>
    <w:rsid w:val="00D83737"/>
    <w:rsid w:val="00D83834"/>
    <w:rsid w:val="00D840E9"/>
    <w:rsid w:val="00D84538"/>
    <w:rsid w:val="00D8462A"/>
    <w:rsid w:val="00D847D1"/>
    <w:rsid w:val="00D84C8A"/>
    <w:rsid w:val="00D85075"/>
    <w:rsid w:val="00D8559D"/>
    <w:rsid w:val="00D859DC"/>
    <w:rsid w:val="00D85A53"/>
    <w:rsid w:val="00D85A59"/>
    <w:rsid w:val="00D868D2"/>
    <w:rsid w:val="00D86E36"/>
    <w:rsid w:val="00D878FA"/>
    <w:rsid w:val="00D87FD4"/>
    <w:rsid w:val="00D903EB"/>
    <w:rsid w:val="00D904F8"/>
    <w:rsid w:val="00D92171"/>
    <w:rsid w:val="00D9258B"/>
    <w:rsid w:val="00D92ABB"/>
    <w:rsid w:val="00D946BB"/>
    <w:rsid w:val="00D961AA"/>
    <w:rsid w:val="00D975D6"/>
    <w:rsid w:val="00D97E91"/>
    <w:rsid w:val="00DA012E"/>
    <w:rsid w:val="00DA1341"/>
    <w:rsid w:val="00DA2A4D"/>
    <w:rsid w:val="00DA42F4"/>
    <w:rsid w:val="00DA5747"/>
    <w:rsid w:val="00DA5979"/>
    <w:rsid w:val="00DA61DA"/>
    <w:rsid w:val="00DA7EBD"/>
    <w:rsid w:val="00DA7FA6"/>
    <w:rsid w:val="00DA7FCF"/>
    <w:rsid w:val="00DB0B56"/>
    <w:rsid w:val="00DB0F8D"/>
    <w:rsid w:val="00DB1BFB"/>
    <w:rsid w:val="00DB1D6D"/>
    <w:rsid w:val="00DB2ADA"/>
    <w:rsid w:val="00DB2C93"/>
    <w:rsid w:val="00DB2D62"/>
    <w:rsid w:val="00DB351F"/>
    <w:rsid w:val="00DB39A6"/>
    <w:rsid w:val="00DB3E7A"/>
    <w:rsid w:val="00DB3F72"/>
    <w:rsid w:val="00DB40DE"/>
    <w:rsid w:val="00DB67ED"/>
    <w:rsid w:val="00DC0099"/>
    <w:rsid w:val="00DC0FCA"/>
    <w:rsid w:val="00DC18C6"/>
    <w:rsid w:val="00DC315E"/>
    <w:rsid w:val="00DC3BA1"/>
    <w:rsid w:val="00DC3C66"/>
    <w:rsid w:val="00DC3CB6"/>
    <w:rsid w:val="00DC3DAF"/>
    <w:rsid w:val="00DC5DB4"/>
    <w:rsid w:val="00DC63AE"/>
    <w:rsid w:val="00DC6C03"/>
    <w:rsid w:val="00DC6F64"/>
    <w:rsid w:val="00DD05A5"/>
    <w:rsid w:val="00DD07CD"/>
    <w:rsid w:val="00DD0DA5"/>
    <w:rsid w:val="00DD3237"/>
    <w:rsid w:val="00DD35F8"/>
    <w:rsid w:val="00DD4F0B"/>
    <w:rsid w:val="00DD7484"/>
    <w:rsid w:val="00DE097F"/>
    <w:rsid w:val="00DE11A7"/>
    <w:rsid w:val="00DE1803"/>
    <w:rsid w:val="00DE2478"/>
    <w:rsid w:val="00DE2714"/>
    <w:rsid w:val="00DE2D3F"/>
    <w:rsid w:val="00DE2DEE"/>
    <w:rsid w:val="00DE361E"/>
    <w:rsid w:val="00DE3F3E"/>
    <w:rsid w:val="00DE40D7"/>
    <w:rsid w:val="00DE4A70"/>
    <w:rsid w:val="00DE7A80"/>
    <w:rsid w:val="00DF078D"/>
    <w:rsid w:val="00DF1B02"/>
    <w:rsid w:val="00DF2022"/>
    <w:rsid w:val="00DF26F0"/>
    <w:rsid w:val="00DF3B3E"/>
    <w:rsid w:val="00DF45C9"/>
    <w:rsid w:val="00DF4D90"/>
    <w:rsid w:val="00DF6C80"/>
    <w:rsid w:val="00DF7EC5"/>
    <w:rsid w:val="00DF7F05"/>
    <w:rsid w:val="00E01A80"/>
    <w:rsid w:val="00E04824"/>
    <w:rsid w:val="00E049AD"/>
    <w:rsid w:val="00E075A1"/>
    <w:rsid w:val="00E079B1"/>
    <w:rsid w:val="00E07A36"/>
    <w:rsid w:val="00E07B4C"/>
    <w:rsid w:val="00E1021D"/>
    <w:rsid w:val="00E116BB"/>
    <w:rsid w:val="00E14169"/>
    <w:rsid w:val="00E147E2"/>
    <w:rsid w:val="00E21277"/>
    <w:rsid w:val="00E21A2F"/>
    <w:rsid w:val="00E21E7B"/>
    <w:rsid w:val="00E225E8"/>
    <w:rsid w:val="00E23734"/>
    <w:rsid w:val="00E27ACB"/>
    <w:rsid w:val="00E32918"/>
    <w:rsid w:val="00E32FC7"/>
    <w:rsid w:val="00E35C6C"/>
    <w:rsid w:val="00E368B1"/>
    <w:rsid w:val="00E408DA"/>
    <w:rsid w:val="00E41317"/>
    <w:rsid w:val="00E42DB0"/>
    <w:rsid w:val="00E4331E"/>
    <w:rsid w:val="00E4391B"/>
    <w:rsid w:val="00E44EDE"/>
    <w:rsid w:val="00E4532E"/>
    <w:rsid w:val="00E458A2"/>
    <w:rsid w:val="00E45DE4"/>
    <w:rsid w:val="00E46E24"/>
    <w:rsid w:val="00E51AED"/>
    <w:rsid w:val="00E52A30"/>
    <w:rsid w:val="00E53A11"/>
    <w:rsid w:val="00E53FA9"/>
    <w:rsid w:val="00E550D1"/>
    <w:rsid w:val="00E55CCD"/>
    <w:rsid w:val="00E5616E"/>
    <w:rsid w:val="00E56EA2"/>
    <w:rsid w:val="00E57619"/>
    <w:rsid w:val="00E60550"/>
    <w:rsid w:val="00E60B8B"/>
    <w:rsid w:val="00E6166B"/>
    <w:rsid w:val="00E61930"/>
    <w:rsid w:val="00E623CA"/>
    <w:rsid w:val="00E628E9"/>
    <w:rsid w:val="00E63FE3"/>
    <w:rsid w:val="00E6512B"/>
    <w:rsid w:val="00E65A32"/>
    <w:rsid w:val="00E65B8B"/>
    <w:rsid w:val="00E70666"/>
    <w:rsid w:val="00E70AF8"/>
    <w:rsid w:val="00E70FB1"/>
    <w:rsid w:val="00E71341"/>
    <w:rsid w:val="00E71867"/>
    <w:rsid w:val="00E72148"/>
    <w:rsid w:val="00E73639"/>
    <w:rsid w:val="00E7471A"/>
    <w:rsid w:val="00E74D08"/>
    <w:rsid w:val="00E75593"/>
    <w:rsid w:val="00E75F16"/>
    <w:rsid w:val="00E7618B"/>
    <w:rsid w:val="00E762B3"/>
    <w:rsid w:val="00E762B8"/>
    <w:rsid w:val="00E76318"/>
    <w:rsid w:val="00E76BA6"/>
    <w:rsid w:val="00E773F4"/>
    <w:rsid w:val="00E811FF"/>
    <w:rsid w:val="00E81E4F"/>
    <w:rsid w:val="00E82A2E"/>
    <w:rsid w:val="00E833E6"/>
    <w:rsid w:val="00E83DFD"/>
    <w:rsid w:val="00E841E9"/>
    <w:rsid w:val="00E84663"/>
    <w:rsid w:val="00E847FA"/>
    <w:rsid w:val="00E849F0"/>
    <w:rsid w:val="00E85337"/>
    <w:rsid w:val="00E85888"/>
    <w:rsid w:val="00E85A2A"/>
    <w:rsid w:val="00E85F2A"/>
    <w:rsid w:val="00E86687"/>
    <w:rsid w:val="00E86B87"/>
    <w:rsid w:val="00E86DAA"/>
    <w:rsid w:val="00E8776E"/>
    <w:rsid w:val="00E87B41"/>
    <w:rsid w:val="00E9260F"/>
    <w:rsid w:val="00E93863"/>
    <w:rsid w:val="00E9492E"/>
    <w:rsid w:val="00EA18A6"/>
    <w:rsid w:val="00EA233D"/>
    <w:rsid w:val="00EA2B4E"/>
    <w:rsid w:val="00EA2C47"/>
    <w:rsid w:val="00EA2CB3"/>
    <w:rsid w:val="00EA2ED1"/>
    <w:rsid w:val="00EA3471"/>
    <w:rsid w:val="00EA3DCD"/>
    <w:rsid w:val="00EA425A"/>
    <w:rsid w:val="00EA488C"/>
    <w:rsid w:val="00EA4ACE"/>
    <w:rsid w:val="00EA5131"/>
    <w:rsid w:val="00EA5321"/>
    <w:rsid w:val="00EA5C32"/>
    <w:rsid w:val="00EA642F"/>
    <w:rsid w:val="00EA6C74"/>
    <w:rsid w:val="00EA754F"/>
    <w:rsid w:val="00EB0A50"/>
    <w:rsid w:val="00EB140C"/>
    <w:rsid w:val="00EB1814"/>
    <w:rsid w:val="00EB1BCD"/>
    <w:rsid w:val="00EB2DDE"/>
    <w:rsid w:val="00EB42BC"/>
    <w:rsid w:val="00EB5E9C"/>
    <w:rsid w:val="00EB7222"/>
    <w:rsid w:val="00EB7816"/>
    <w:rsid w:val="00EB7A2A"/>
    <w:rsid w:val="00EC09A1"/>
    <w:rsid w:val="00EC0ADD"/>
    <w:rsid w:val="00EC27EB"/>
    <w:rsid w:val="00EC2937"/>
    <w:rsid w:val="00EC2D72"/>
    <w:rsid w:val="00EC36C4"/>
    <w:rsid w:val="00EC375B"/>
    <w:rsid w:val="00EC581A"/>
    <w:rsid w:val="00EC7100"/>
    <w:rsid w:val="00EC7B53"/>
    <w:rsid w:val="00ED0051"/>
    <w:rsid w:val="00ED1A55"/>
    <w:rsid w:val="00ED27B6"/>
    <w:rsid w:val="00ED2B20"/>
    <w:rsid w:val="00ED2CFE"/>
    <w:rsid w:val="00ED3493"/>
    <w:rsid w:val="00ED63D8"/>
    <w:rsid w:val="00ED6435"/>
    <w:rsid w:val="00ED6774"/>
    <w:rsid w:val="00ED69B1"/>
    <w:rsid w:val="00ED6D29"/>
    <w:rsid w:val="00ED70D4"/>
    <w:rsid w:val="00ED7716"/>
    <w:rsid w:val="00ED7FD0"/>
    <w:rsid w:val="00EE1C09"/>
    <w:rsid w:val="00EE2231"/>
    <w:rsid w:val="00EE2D16"/>
    <w:rsid w:val="00EE5ADB"/>
    <w:rsid w:val="00EE6305"/>
    <w:rsid w:val="00EE7105"/>
    <w:rsid w:val="00EF1FA0"/>
    <w:rsid w:val="00EF278D"/>
    <w:rsid w:val="00EF34E6"/>
    <w:rsid w:val="00EF430C"/>
    <w:rsid w:val="00EF46CB"/>
    <w:rsid w:val="00EF47C9"/>
    <w:rsid w:val="00EF4CCE"/>
    <w:rsid w:val="00EF5B0D"/>
    <w:rsid w:val="00EF6E90"/>
    <w:rsid w:val="00EF6F25"/>
    <w:rsid w:val="00EF786A"/>
    <w:rsid w:val="00EF7FAD"/>
    <w:rsid w:val="00F00BDE"/>
    <w:rsid w:val="00F01968"/>
    <w:rsid w:val="00F01F2B"/>
    <w:rsid w:val="00F024D0"/>
    <w:rsid w:val="00F0512D"/>
    <w:rsid w:val="00F0537C"/>
    <w:rsid w:val="00F054E5"/>
    <w:rsid w:val="00F065A7"/>
    <w:rsid w:val="00F101F3"/>
    <w:rsid w:val="00F104E6"/>
    <w:rsid w:val="00F10506"/>
    <w:rsid w:val="00F10ABB"/>
    <w:rsid w:val="00F13725"/>
    <w:rsid w:val="00F13885"/>
    <w:rsid w:val="00F1389C"/>
    <w:rsid w:val="00F13AA3"/>
    <w:rsid w:val="00F1461F"/>
    <w:rsid w:val="00F1655C"/>
    <w:rsid w:val="00F16A81"/>
    <w:rsid w:val="00F16FEF"/>
    <w:rsid w:val="00F20410"/>
    <w:rsid w:val="00F20476"/>
    <w:rsid w:val="00F20D5B"/>
    <w:rsid w:val="00F221D3"/>
    <w:rsid w:val="00F222B5"/>
    <w:rsid w:val="00F22560"/>
    <w:rsid w:val="00F234C7"/>
    <w:rsid w:val="00F23915"/>
    <w:rsid w:val="00F23A60"/>
    <w:rsid w:val="00F2421B"/>
    <w:rsid w:val="00F24A87"/>
    <w:rsid w:val="00F24CE5"/>
    <w:rsid w:val="00F25C2F"/>
    <w:rsid w:val="00F266D2"/>
    <w:rsid w:val="00F268B5"/>
    <w:rsid w:val="00F26C20"/>
    <w:rsid w:val="00F27414"/>
    <w:rsid w:val="00F277F7"/>
    <w:rsid w:val="00F27BBD"/>
    <w:rsid w:val="00F300AC"/>
    <w:rsid w:val="00F307FB"/>
    <w:rsid w:val="00F30BB1"/>
    <w:rsid w:val="00F314CF"/>
    <w:rsid w:val="00F31523"/>
    <w:rsid w:val="00F31D68"/>
    <w:rsid w:val="00F32891"/>
    <w:rsid w:val="00F33273"/>
    <w:rsid w:val="00F3344B"/>
    <w:rsid w:val="00F33899"/>
    <w:rsid w:val="00F349D0"/>
    <w:rsid w:val="00F350A9"/>
    <w:rsid w:val="00F3524E"/>
    <w:rsid w:val="00F35292"/>
    <w:rsid w:val="00F35407"/>
    <w:rsid w:val="00F35A2F"/>
    <w:rsid w:val="00F364A5"/>
    <w:rsid w:val="00F36F89"/>
    <w:rsid w:val="00F40416"/>
    <w:rsid w:val="00F4156E"/>
    <w:rsid w:val="00F4220C"/>
    <w:rsid w:val="00F42621"/>
    <w:rsid w:val="00F43E38"/>
    <w:rsid w:val="00F4425B"/>
    <w:rsid w:val="00F44B31"/>
    <w:rsid w:val="00F45059"/>
    <w:rsid w:val="00F4505B"/>
    <w:rsid w:val="00F47D00"/>
    <w:rsid w:val="00F50F56"/>
    <w:rsid w:val="00F5210F"/>
    <w:rsid w:val="00F52860"/>
    <w:rsid w:val="00F52904"/>
    <w:rsid w:val="00F548A2"/>
    <w:rsid w:val="00F54AD0"/>
    <w:rsid w:val="00F54F10"/>
    <w:rsid w:val="00F552E1"/>
    <w:rsid w:val="00F55B63"/>
    <w:rsid w:val="00F55E10"/>
    <w:rsid w:val="00F56ADB"/>
    <w:rsid w:val="00F62635"/>
    <w:rsid w:val="00F6270F"/>
    <w:rsid w:val="00F64049"/>
    <w:rsid w:val="00F653C7"/>
    <w:rsid w:val="00F66648"/>
    <w:rsid w:val="00F66A3D"/>
    <w:rsid w:val="00F66B9B"/>
    <w:rsid w:val="00F67AA7"/>
    <w:rsid w:val="00F67E9C"/>
    <w:rsid w:val="00F71898"/>
    <w:rsid w:val="00F71EF2"/>
    <w:rsid w:val="00F722AB"/>
    <w:rsid w:val="00F72D3C"/>
    <w:rsid w:val="00F734A5"/>
    <w:rsid w:val="00F73DB9"/>
    <w:rsid w:val="00F74456"/>
    <w:rsid w:val="00F74850"/>
    <w:rsid w:val="00F74D14"/>
    <w:rsid w:val="00F751F6"/>
    <w:rsid w:val="00F75945"/>
    <w:rsid w:val="00F75BB2"/>
    <w:rsid w:val="00F764DD"/>
    <w:rsid w:val="00F765DC"/>
    <w:rsid w:val="00F800CD"/>
    <w:rsid w:val="00F813EE"/>
    <w:rsid w:val="00F81DC7"/>
    <w:rsid w:val="00F82F52"/>
    <w:rsid w:val="00F834DA"/>
    <w:rsid w:val="00F8476A"/>
    <w:rsid w:val="00F853E4"/>
    <w:rsid w:val="00F872E6"/>
    <w:rsid w:val="00F8770F"/>
    <w:rsid w:val="00F877D4"/>
    <w:rsid w:val="00F87BC8"/>
    <w:rsid w:val="00F87D2F"/>
    <w:rsid w:val="00F9003D"/>
    <w:rsid w:val="00F905A1"/>
    <w:rsid w:val="00F9084E"/>
    <w:rsid w:val="00F922DE"/>
    <w:rsid w:val="00F92EAE"/>
    <w:rsid w:val="00F93FC7"/>
    <w:rsid w:val="00F94237"/>
    <w:rsid w:val="00F95B71"/>
    <w:rsid w:val="00F96D4C"/>
    <w:rsid w:val="00F977C8"/>
    <w:rsid w:val="00F97E45"/>
    <w:rsid w:val="00FA0ADA"/>
    <w:rsid w:val="00FA0F79"/>
    <w:rsid w:val="00FA1A79"/>
    <w:rsid w:val="00FA1FC1"/>
    <w:rsid w:val="00FA23AB"/>
    <w:rsid w:val="00FA25D1"/>
    <w:rsid w:val="00FA3B4D"/>
    <w:rsid w:val="00FA3D85"/>
    <w:rsid w:val="00FA5AA7"/>
    <w:rsid w:val="00FB065E"/>
    <w:rsid w:val="00FB1298"/>
    <w:rsid w:val="00FB15E6"/>
    <w:rsid w:val="00FB254A"/>
    <w:rsid w:val="00FB3193"/>
    <w:rsid w:val="00FB3381"/>
    <w:rsid w:val="00FB3721"/>
    <w:rsid w:val="00FB3972"/>
    <w:rsid w:val="00FB3FC9"/>
    <w:rsid w:val="00FB45F4"/>
    <w:rsid w:val="00FB5029"/>
    <w:rsid w:val="00FB511E"/>
    <w:rsid w:val="00FB59BE"/>
    <w:rsid w:val="00FB7157"/>
    <w:rsid w:val="00FB7871"/>
    <w:rsid w:val="00FC015D"/>
    <w:rsid w:val="00FC084C"/>
    <w:rsid w:val="00FC0946"/>
    <w:rsid w:val="00FC11D1"/>
    <w:rsid w:val="00FC2D6C"/>
    <w:rsid w:val="00FC45E0"/>
    <w:rsid w:val="00FC4B15"/>
    <w:rsid w:val="00FC5039"/>
    <w:rsid w:val="00FC5B1E"/>
    <w:rsid w:val="00FC6156"/>
    <w:rsid w:val="00FC640F"/>
    <w:rsid w:val="00FC7274"/>
    <w:rsid w:val="00FC77C2"/>
    <w:rsid w:val="00FC7CBC"/>
    <w:rsid w:val="00FD257C"/>
    <w:rsid w:val="00FD2EA0"/>
    <w:rsid w:val="00FD35FE"/>
    <w:rsid w:val="00FD3E4F"/>
    <w:rsid w:val="00FD40F5"/>
    <w:rsid w:val="00FD4BD1"/>
    <w:rsid w:val="00FD4C4B"/>
    <w:rsid w:val="00FD4EB7"/>
    <w:rsid w:val="00FD5273"/>
    <w:rsid w:val="00FD6238"/>
    <w:rsid w:val="00FD6239"/>
    <w:rsid w:val="00FD6659"/>
    <w:rsid w:val="00FD6C83"/>
    <w:rsid w:val="00FD7BB9"/>
    <w:rsid w:val="00FE02C1"/>
    <w:rsid w:val="00FE07E2"/>
    <w:rsid w:val="00FE0F0B"/>
    <w:rsid w:val="00FE0F3C"/>
    <w:rsid w:val="00FE1029"/>
    <w:rsid w:val="00FE1A24"/>
    <w:rsid w:val="00FE1D5B"/>
    <w:rsid w:val="00FE232D"/>
    <w:rsid w:val="00FE4560"/>
    <w:rsid w:val="00FE4A41"/>
    <w:rsid w:val="00FE5385"/>
    <w:rsid w:val="00FE5985"/>
    <w:rsid w:val="00FE66D1"/>
    <w:rsid w:val="00FE781D"/>
    <w:rsid w:val="00FE7ADD"/>
    <w:rsid w:val="00FF399D"/>
    <w:rsid w:val="00FF3AD8"/>
    <w:rsid w:val="00FF40C4"/>
    <w:rsid w:val="00FF4499"/>
    <w:rsid w:val="00FF50C5"/>
    <w:rsid w:val="00FF571D"/>
    <w:rsid w:val="00FF5B70"/>
    <w:rsid w:val="00FF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E9"/>
    <w:pPr>
      <w:spacing w:after="0" w:line="336" w:lineRule="auto"/>
    </w:pPr>
    <w:rPr>
      <w:szCs w:val="24"/>
    </w:rPr>
  </w:style>
  <w:style w:type="paragraph" w:styleId="Heading1">
    <w:name w:val="heading 1"/>
    <w:basedOn w:val="Normal"/>
    <w:next w:val="Normal"/>
    <w:link w:val="Heading1Char"/>
    <w:uiPriority w:val="9"/>
    <w:qFormat/>
    <w:rsid w:val="007721E9"/>
    <w:pPr>
      <w:keepNext/>
      <w:keepLines/>
      <w:spacing w:before="48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4BAF"/>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21E9"/>
    <w:pPr>
      <w:keepNext/>
      <w:keepLines/>
      <w:spacing w:before="36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CF6E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6395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4B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21E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F6E8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23E68"/>
    <w:pPr>
      <w:spacing w:after="120"/>
      <w:ind w:left="720"/>
    </w:pPr>
    <w:rPr>
      <w:szCs w:val="22"/>
    </w:rPr>
  </w:style>
  <w:style w:type="paragraph" w:styleId="Header">
    <w:name w:val="header"/>
    <w:basedOn w:val="Normal"/>
    <w:link w:val="HeaderChar"/>
    <w:uiPriority w:val="99"/>
    <w:unhideWhenUsed/>
    <w:rsid w:val="00901C82"/>
    <w:pPr>
      <w:tabs>
        <w:tab w:val="center" w:pos="4513"/>
        <w:tab w:val="right" w:pos="9026"/>
      </w:tabs>
    </w:pPr>
  </w:style>
  <w:style w:type="character" w:customStyle="1" w:styleId="HeaderChar">
    <w:name w:val="Header Char"/>
    <w:basedOn w:val="DefaultParagraphFont"/>
    <w:link w:val="Header"/>
    <w:uiPriority w:val="99"/>
    <w:rsid w:val="00901C82"/>
    <w:rPr>
      <w:szCs w:val="24"/>
    </w:rPr>
  </w:style>
  <w:style w:type="paragraph" w:styleId="Footer">
    <w:name w:val="footer"/>
    <w:basedOn w:val="Normal"/>
    <w:link w:val="FooterChar"/>
    <w:uiPriority w:val="99"/>
    <w:unhideWhenUsed/>
    <w:rsid w:val="00901C82"/>
    <w:pPr>
      <w:tabs>
        <w:tab w:val="center" w:pos="4513"/>
        <w:tab w:val="right" w:pos="9026"/>
      </w:tabs>
    </w:pPr>
  </w:style>
  <w:style w:type="character" w:customStyle="1" w:styleId="FooterChar">
    <w:name w:val="Footer Char"/>
    <w:basedOn w:val="DefaultParagraphFont"/>
    <w:link w:val="Footer"/>
    <w:uiPriority w:val="99"/>
    <w:rsid w:val="00901C82"/>
    <w:rPr>
      <w:szCs w:val="24"/>
    </w:rPr>
  </w:style>
  <w:style w:type="character" w:styleId="Hyperlink">
    <w:name w:val="Hyperlink"/>
    <w:basedOn w:val="DefaultParagraphFont"/>
    <w:uiPriority w:val="99"/>
    <w:unhideWhenUsed/>
    <w:rsid w:val="00E04824"/>
    <w:rPr>
      <w:color w:val="0563C1" w:themeColor="hyperlink"/>
      <w:u w:val="single"/>
    </w:rPr>
  </w:style>
  <w:style w:type="character" w:styleId="CommentReference">
    <w:name w:val="annotation reference"/>
    <w:basedOn w:val="DefaultParagraphFont"/>
    <w:uiPriority w:val="99"/>
    <w:semiHidden/>
    <w:unhideWhenUsed/>
    <w:rsid w:val="007B02DA"/>
    <w:rPr>
      <w:sz w:val="16"/>
      <w:szCs w:val="16"/>
    </w:rPr>
  </w:style>
  <w:style w:type="paragraph" w:styleId="CommentText">
    <w:name w:val="annotation text"/>
    <w:basedOn w:val="Normal"/>
    <w:link w:val="CommentTextChar"/>
    <w:uiPriority w:val="99"/>
    <w:unhideWhenUsed/>
    <w:rsid w:val="007B02DA"/>
    <w:rPr>
      <w:sz w:val="20"/>
      <w:szCs w:val="20"/>
    </w:rPr>
  </w:style>
  <w:style w:type="character" w:customStyle="1" w:styleId="CommentTextChar">
    <w:name w:val="Comment Text Char"/>
    <w:basedOn w:val="DefaultParagraphFont"/>
    <w:link w:val="CommentText"/>
    <w:uiPriority w:val="99"/>
    <w:rsid w:val="007B02DA"/>
    <w:rPr>
      <w:sz w:val="20"/>
      <w:szCs w:val="20"/>
    </w:rPr>
  </w:style>
  <w:style w:type="paragraph" w:styleId="CommentSubject">
    <w:name w:val="annotation subject"/>
    <w:basedOn w:val="CommentText"/>
    <w:next w:val="CommentText"/>
    <w:link w:val="CommentSubjectChar"/>
    <w:uiPriority w:val="99"/>
    <w:semiHidden/>
    <w:unhideWhenUsed/>
    <w:rsid w:val="007B02DA"/>
    <w:rPr>
      <w:b/>
      <w:bCs/>
    </w:rPr>
  </w:style>
  <w:style w:type="character" w:customStyle="1" w:styleId="CommentSubjectChar">
    <w:name w:val="Comment Subject Char"/>
    <w:basedOn w:val="CommentTextChar"/>
    <w:link w:val="CommentSubject"/>
    <w:uiPriority w:val="99"/>
    <w:semiHidden/>
    <w:rsid w:val="007B02DA"/>
    <w:rPr>
      <w:b/>
      <w:bCs/>
      <w:sz w:val="20"/>
      <w:szCs w:val="20"/>
    </w:rPr>
  </w:style>
  <w:style w:type="paragraph" w:styleId="BalloonText">
    <w:name w:val="Balloon Text"/>
    <w:basedOn w:val="Normal"/>
    <w:link w:val="BalloonTextChar"/>
    <w:uiPriority w:val="99"/>
    <w:semiHidden/>
    <w:unhideWhenUsed/>
    <w:rsid w:val="007B0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DA"/>
    <w:rPr>
      <w:rFonts w:ascii="Segoe UI" w:hAnsi="Segoe UI" w:cs="Segoe UI"/>
      <w:sz w:val="18"/>
      <w:szCs w:val="18"/>
    </w:rPr>
  </w:style>
  <w:style w:type="paragraph" w:styleId="FootnoteText">
    <w:name w:val="footnote text"/>
    <w:basedOn w:val="Normal"/>
    <w:link w:val="FootnoteTextChar"/>
    <w:uiPriority w:val="99"/>
    <w:unhideWhenUsed/>
    <w:qFormat/>
    <w:rsid w:val="00316415"/>
    <w:rPr>
      <w:sz w:val="20"/>
      <w:szCs w:val="20"/>
    </w:rPr>
  </w:style>
  <w:style w:type="character" w:customStyle="1" w:styleId="FootnoteTextChar">
    <w:name w:val="Footnote Text Char"/>
    <w:basedOn w:val="DefaultParagraphFont"/>
    <w:link w:val="FootnoteText"/>
    <w:uiPriority w:val="99"/>
    <w:rsid w:val="00316415"/>
    <w:rPr>
      <w:sz w:val="20"/>
      <w:szCs w:val="20"/>
    </w:rPr>
  </w:style>
  <w:style w:type="character" w:styleId="FootnoteReference">
    <w:name w:val="footnote reference"/>
    <w:basedOn w:val="DefaultParagraphFont"/>
    <w:uiPriority w:val="99"/>
    <w:unhideWhenUsed/>
    <w:rsid w:val="00316415"/>
    <w:rPr>
      <w:vertAlign w:val="superscript"/>
    </w:rPr>
  </w:style>
  <w:style w:type="character" w:styleId="FollowedHyperlink">
    <w:name w:val="FollowedHyperlink"/>
    <w:basedOn w:val="DefaultParagraphFont"/>
    <w:uiPriority w:val="99"/>
    <w:semiHidden/>
    <w:unhideWhenUsed/>
    <w:rsid w:val="00784B41"/>
    <w:rPr>
      <w:color w:val="954F72" w:themeColor="followedHyperlink"/>
      <w:u w:val="single"/>
    </w:rPr>
  </w:style>
  <w:style w:type="character" w:customStyle="1" w:styleId="A10">
    <w:name w:val="A10"/>
    <w:uiPriority w:val="99"/>
    <w:rsid w:val="001E4840"/>
    <w:rPr>
      <w:rFonts w:cs="VAGRounded LT Light"/>
      <w:color w:val="000000"/>
      <w:sz w:val="12"/>
      <w:szCs w:val="12"/>
    </w:rPr>
  </w:style>
  <w:style w:type="paragraph" w:customStyle="1" w:styleId="Pa6">
    <w:name w:val="Pa6"/>
    <w:basedOn w:val="Normal"/>
    <w:next w:val="Normal"/>
    <w:uiPriority w:val="99"/>
    <w:rsid w:val="00AE6E05"/>
    <w:pPr>
      <w:autoSpaceDE w:val="0"/>
      <w:autoSpaceDN w:val="0"/>
      <w:adjustRightInd w:val="0"/>
      <w:spacing w:line="221" w:lineRule="atLeast"/>
    </w:pPr>
    <w:rPr>
      <w:rFonts w:ascii="VAGRounded LT Light" w:hAnsi="VAGRounded LT Light"/>
      <w:sz w:val="24"/>
    </w:rPr>
  </w:style>
  <w:style w:type="paragraph" w:styleId="Caption">
    <w:name w:val="caption"/>
    <w:basedOn w:val="Normal"/>
    <w:next w:val="Normal"/>
    <w:uiPriority w:val="35"/>
    <w:unhideWhenUsed/>
    <w:qFormat/>
    <w:rsid w:val="00EE6305"/>
    <w:pPr>
      <w:spacing w:before="240" w:after="120"/>
      <w:jc w:val="center"/>
    </w:pPr>
    <w:rPr>
      <w:b/>
      <w:i/>
      <w:iCs/>
      <w:szCs w:val="18"/>
    </w:rPr>
  </w:style>
  <w:style w:type="paragraph" w:styleId="BodyText">
    <w:name w:val="Body Text"/>
    <w:basedOn w:val="Normal"/>
    <w:link w:val="BodyTextChar"/>
    <w:uiPriority w:val="99"/>
    <w:semiHidden/>
    <w:unhideWhenUsed/>
    <w:rsid w:val="004B51B0"/>
    <w:pPr>
      <w:spacing w:after="120"/>
    </w:pPr>
  </w:style>
  <w:style w:type="character" w:customStyle="1" w:styleId="BodyTextChar">
    <w:name w:val="Body Text Char"/>
    <w:basedOn w:val="DefaultParagraphFont"/>
    <w:link w:val="BodyText"/>
    <w:uiPriority w:val="99"/>
    <w:semiHidden/>
    <w:rsid w:val="004B51B0"/>
    <w:rPr>
      <w:szCs w:val="24"/>
    </w:rPr>
  </w:style>
  <w:style w:type="paragraph" w:customStyle="1" w:styleId="TableNotes">
    <w:name w:val="Table Notes"/>
    <w:basedOn w:val="Normal"/>
    <w:qFormat/>
    <w:rsid w:val="00B229BB"/>
    <w:pPr>
      <w:spacing w:before="60" w:after="240"/>
      <w:ind w:left="284"/>
    </w:pPr>
    <w:rPr>
      <w:i/>
      <w:sz w:val="20"/>
    </w:rPr>
  </w:style>
  <w:style w:type="character" w:styleId="PlaceholderText">
    <w:name w:val="Placeholder Text"/>
    <w:basedOn w:val="DefaultParagraphFont"/>
    <w:uiPriority w:val="99"/>
    <w:semiHidden/>
    <w:rsid w:val="00674BC7"/>
    <w:rPr>
      <w:color w:val="808080"/>
    </w:rPr>
  </w:style>
  <w:style w:type="paragraph" w:styleId="Quote">
    <w:name w:val="Quote"/>
    <w:basedOn w:val="Normal"/>
    <w:next w:val="Normal"/>
    <w:link w:val="QuoteChar"/>
    <w:uiPriority w:val="29"/>
    <w:qFormat/>
    <w:rsid w:val="007F2F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2FEC"/>
    <w:rPr>
      <w:i/>
      <w:iCs/>
      <w:color w:val="404040" w:themeColor="text1" w:themeTint="BF"/>
      <w:szCs w:val="24"/>
    </w:rPr>
  </w:style>
  <w:style w:type="paragraph" w:customStyle="1" w:styleId="EndNoteBibliographyTitle">
    <w:name w:val="EndNote Bibliography Title"/>
    <w:basedOn w:val="Normal"/>
    <w:link w:val="EndNoteBibliographyTitleChar"/>
    <w:rsid w:val="00117DE4"/>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17DE4"/>
    <w:rPr>
      <w:rFonts w:ascii="Calibri" w:hAnsi="Calibri"/>
      <w:noProof/>
      <w:szCs w:val="24"/>
      <w:lang w:val="en-US"/>
    </w:rPr>
  </w:style>
  <w:style w:type="paragraph" w:customStyle="1" w:styleId="EndNoteBibliography">
    <w:name w:val="EndNote Bibliography"/>
    <w:basedOn w:val="Normal"/>
    <w:link w:val="EndNoteBibliographyChar"/>
    <w:rsid w:val="00117DE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17DE4"/>
    <w:rPr>
      <w:rFonts w:ascii="Calibri" w:hAnsi="Calibri"/>
      <w:noProof/>
      <w:szCs w:val="24"/>
      <w:lang w:val="en-US"/>
    </w:rPr>
  </w:style>
  <w:style w:type="character" w:customStyle="1" w:styleId="Heading5Char">
    <w:name w:val="Heading 5 Char"/>
    <w:basedOn w:val="DefaultParagraphFont"/>
    <w:link w:val="Heading5"/>
    <w:uiPriority w:val="9"/>
    <w:rsid w:val="00263951"/>
    <w:rPr>
      <w:rFonts w:asciiTheme="majorHAnsi" w:eastAsiaTheme="majorEastAsia" w:hAnsiTheme="majorHAnsi" w:cstheme="majorBidi"/>
      <w:color w:val="2E74B5" w:themeColor="accent1" w:themeShade="BF"/>
      <w:szCs w:val="24"/>
    </w:rPr>
  </w:style>
  <w:style w:type="paragraph" w:styleId="EndnoteText">
    <w:name w:val="endnote text"/>
    <w:basedOn w:val="Normal"/>
    <w:link w:val="EndnoteTextChar"/>
    <w:uiPriority w:val="99"/>
    <w:semiHidden/>
    <w:unhideWhenUsed/>
    <w:rsid w:val="007721E9"/>
    <w:rPr>
      <w:sz w:val="20"/>
      <w:szCs w:val="20"/>
    </w:rPr>
  </w:style>
  <w:style w:type="character" w:customStyle="1" w:styleId="EndnoteTextChar">
    <w:name w:val="Endnote Text Char"/>
    <w:basedOn w:val="DefaultParagraphFont"/>
    <w:link w:val="EndnoteText"/>
    <w:uiPriority w:val="99"/>
    <w:semiHidden/>
    <w:rsid w:val="007721E9"/>
    <w:rPr>
      <w:sz w:val="20"/>
      <w:szCs w:val="20"/>
    </w:rPr>
  </w:style>
  <w:style w:type="character" w:styleId="EndnoteReference">
    <w:name w:val="endnote reference"/>
    <w:basedOn w:val="DefaultParagraphFont"/>
    <w:uiPriority w:val="99"/>
    <w:semiHidden/>
    <w:unhideWhenUsed/>
    <w:rsid w:val="007721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E9"/>
    <w:pPr>
      <w:spacing w:after="0" w:line="336" w:lineRule="auto"/>
    </w:pPr>
    <w:rPr>
      <w:szCs w:val="24"/>
    </w:rPr>
  </w:style>
  <w:style w:type="paragraph" w:styleId="Heading1">
    <w:name w:val="heading 1"/>
    <w:basedOn w:val="Normal"/>
    <w:next w:val="Normal"/>
    <w:link w:val="Heading1Char"/>
    <w:uiPriority w:val="9"/>
    <w:qFormat/>
    <w:rsid w:val="007721E9"/>
    <w:pPr>
      <w:keepNext/>
      <w:keepLines/>
      <w:spacing w:before="48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4BAF"/>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21E9"/>
    <w:pPr>
      <w:keepNext/>
      <w:keepLines/>
      <w:spacing w:before="36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CF6E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6395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4B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21E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F6E8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23E68"/>
    <w:pPr>
      <w:spacing w:after="120"/>
      <w:ind w:left="720"/>
    </w:pPr>
    <w:rPr>
      <w:szCs w:val="22"/>
    </w:rPr>
  </w:style>
  <w:style w:type="paragraph" w:styleId="Header">
    <w:name w:val="header"/>
    <w:basedOn w:val="Normal"/>
    <w:link w:val="HeaderChar"/>
    <w:uiPriority w:val="99"/>
    <w:unhideWhenUsed/>
    <w:rsid w:val="00901C82"/>
    <w:pPr>
      <w:tabs>
        <w:tab w:val="center" w:pos="4513"/>
        <w:tab w:val="right" w:pos="9026"/>
      </w:tabs>
    </w:pPr>
  </w:style>
  <w:style w:type="character" w:customStyle="1" w:styleId="HeaderChar">
    <w:name w:val="Header Char"/>
    <w:basedOn w:val="DefaultParagraphFont"/>
    <w:link w:val="Header"/>
    <w:uiPriority w:val="99"/>
    <w:rsid w:val="00901C82"/>
    <w:rPr>
      <w:szCs w:val="24"/>
    </w:rPr>
  </w:style>
  <w:style w:type="paragraph" w:styleId="Footer">
    <w:name w:val="footer"/>
    <w:basedOn w:val="Normal"/>
    <w:link w:val="FooterChar"/>
    <w:uiPriority w:val="99"/>
    <w:unhideWhenUsed/>
    <w:rsid w:val="00901C82"/>
    <w:pPr>
      <w:tabs>
        <w:tab w:val="center" w:pos="4513"/>
        <w:tab w:val="right" w:pos="9026"/>
      </w:tabs>
    </w:pPr>
  </w:style>
  <w:style w:type="character" w:customStyle="1" w:styleId="FooterChar">
    <w:name w:val="Footer Char"/>
    <w:basedOn w:val="DefaultParagraphFont"/>
    <w:link w:val="Footer"/>
    <w:uiPriority w:val="99"/>
    <w:rsid w:val="00901C82"/>
    <w:rPr>
      <w:szCs w:val="24"/>
    </w:rPr>
  </w:style>
  <w:style w:type="character" w:styleId="Hyperlink">
    <w:name w:val="Hyperlink"/>
    <w:basedOn w:val="DefaultParagraphFont"/>
    <w:uiPriority w:val="99"/>
    <w:unhideWhenUsed/>
    <w:rsid w:val="00E04824"/>
    <w:rPr>
      <w:color w:val="0563C1" w:themeColor="hyperlink"/>
      <w:u w:val="single"/>
    </w:rPr>
  </w:style>
  <w:style w:type="character" w:styleId="CommentReference">
    <w:name w:val="annotation reference"/>
    <w:basedOn w:val="DefaultParagraphFont"/>
    <w:uiPriority w:val="99"/>
    <w:semiHidden/>
    <w:unhideWhenUsed/>
    <w:rsid w:val="007B02DA"/>
    <w:rPr>
      <w:sz w:val="16"/>
      <w:szCs w:val="16"/>
    </w:rPr>
  </w:style>
  <w:style w:type="paragraph" w:styleId="CommentText">
    <w:name w:val="annotation text"/>
    <w:basedOn w:val="Normal"/>
    <w:link w:val="CommentTextChar"/>
    <w:uiPriority w:val="99"/>
    <w:unhideWhenUsed/>
    <w:rsid w:val="007B02DA"/>
    <w:rPr>
      <w:sz w:val="20"/>
      <w:szCs w:val="20"/>
    </w:rPr>
  </w:style>
  <w:style w:type="character" w:customStyle="1" w:styleId="CommentTextChar">
    <w:name w:val="Comment Text Char"/>
    <w:basedOn w:val="DefaultParagraphFont"/>
    <w:link w:val="CommentText"/>
    <w:uiPriority w:val="99"/>
    <w:rsid w:val="007B02DA"/>
    <w:rPr>
      <w:sz w:val="20"/>
      <w:szCs w:val="20"/>
    </w:rPr>
  </w:style>
  <w:style w:type="paragraph" w:styleId="CommentSubject">
    <w:name w:val="annotation subject"/>
    <w:basedOn w:val="CommentText"/>
    <w:next w:val="CommentText"/>
    <w:link w:val="CommentSubjectChar"/>
    <w:uiPriority w:val="99"/>
    <w:semiHidden/>
    <w:unhideWhenUsed/>
    <w:rsid w:val="007B02DA"/>
    <w:rPr>
      <w:b/>
      <w:bCs/>
    </w:rPr>
  </w:style>
  <w:style w:type="character" w:customStyle="1" w:styleId="CommentSubjectChar">
    <w:name w:val="Comment Subject Char"/>
    <w:basedOn w:val="CommentTextChar"/>
    <w:link w:val="CommentSubject"/>
    <w:uiPriority w:val="99"/>
    <w:semiHidden/>
    <w:rsid w:val="007B02DA"/>
    <w:rPr>
      <w:b/>
      <w:bCs/>
      <w:sz w:val="20"/>
      <w:szCs w:val="20"/>
    </w:rPr>
  </w:style>
  <w:style w:type="paragraph" w:styleId="BalloonText">
    <w:name w:val="Balloon Text"/>
    <w:basedOn w:val="Normal"/>
    <w:link w:val="BalloonTextChar"/>
    <w:uiPriority w:val="99"/>
    <w:semiHidden/>
    <w:unhideWhenUsed/>
    <w:rsid w:val="007B0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DA"/>
    <w:rPr>
      <w:rFonts w:ascii="Segoe UI" w:hAnsi="Segoe UI" w:cs="Segoe UI"/>
      <w:sz w:val="18"/>
      <w:szCs w:val="18"/>
    </w:rPr>
  </w:style>
  <w:style w:type="paragraph" w:styleId="FootnoteText">
    <w:name w:val="footnote text"/>
    <w:basedOn w:val="Normal"/>
    <w:link w:val="FootnoteTextChar"/>
    <w:uiPriority w:val="99"/>
    <w:unhideWhenUsed/>
    <w:qFormat/>
    <w:rsid w:val="00316415"/>
    <w:rPr>
      <w:sz w:val="20"/>
      <w:szCs w:val="20"/>
    </w:rPr>
  </w:style>
  <w:style w:type="character" w:customStyle="1" w:styleId="FootnoteTextChar">
    <w:name w:val="Footnote Text Char"/>
    <w:basedOn w:val="DefaultParagraphFont"/>
    <w:link w:val="FootnoteText"/>
    <w:uiPriority w:val="99"/>
    <w:rsid w:val="00316415"/>
    <w:rPr>
      <w:sz w:val="20"/>
      <w:szCs w:val="20"/>
    </w:rPr>
  </w:style>
  <w:style w:type="character" w:styleId="FootnoteReference">
    <w:name w:val="footnote reference"/>
    <w:basedOn w:val="DefaultParagraphFont"/>
    <w:uiPriority w:val="99"/>
    <w:unhideWhenUsed/>
    <w:rsid w:val="00316415"/>
    <w:rPr>
      <w:vertAlign w:val="superscript"/>
    </w:rPr>
  </w:style>
  <w:style w:type="character" w:styleId="FollowedHyperlink">
    <w:name w:val="FollowedHyperlink"/>
    <w:basedOn w:val="DefaultParagraphFont"/>
    <w:uiPriority w:val="99"/>
    <w:semiHidden/>
    <w:unhideWhenUsed/>
    <w:rsid w:val="00784B41"/>
    <w:rPr>
      <w:color w:val="954F72" w:themeColor="followedHyperlink"/>
      <w:u w:val="single"/>
    </w:rPr>
  </w:style>
  <w:style w:type="character" w:customStyle="1" w:styleId="A10">
    <w:name w:val="A10"/>
    <w:uiPriority w:val="99"/>
    <w:rsid w:val="001E4840"/>
    <w:rPr>
      <w:rFonts w:cs="VAGRounded LT Light"/>
      <w:color w:val="000000"/>
      <w:sz w:val="12"/>
      <w:szCs w:val="12"/>
    </w:rPr>
  </w:style>
  <w:style w:type="paragraph" w:customStyle="1" w:styleId="Pa6">
    <w:name w:val="Pa6"/>
    <w:basedOn w:val="Normal"/>
    <w:next w:val="Normal"/>
    <w:uiPriority w:val="99"/>
    <w:rsid w:val="00AE6E05"/>
    <w:pPr>
      <w:autoSpaceDE w:val="0"/>
      <w:autoSpaceDN w:val="0"/>
      <w:adjustRightInd w:val="0"/>
      <w:spacing w:line="221" w:lineRule="atLeast"/>
    </w:pPr>
    <w:rPr>
      <w:rFonts w:ascii="VAGRounded LT Light" w:hAnsi="VAGRounded LT Light"/>
      <w:sz w:val="24"/>
    </w:rPr>
  </w:style>
  <w:style w:type="paragraph" w:styleId="Caption">
    <w:name w:val="caption"/>
    <w:basedOn w:val="Normal"/>
    <w:next w:val="Normal"/>
    <w:uiPriority w:val="35"/>
    <w:unhideWhenUsed/>
    <w:qFormat/>
    <w:rsid w:val="00EE6305"/>
    <w:pPr>
      <w:spacing w:before="240" w:after="120"/>
      <w:jc w:val="center"/>
    </w:pPr>
    <w:rPr>
      <w:b/>
      <w:i/>
      <w:iCs/>
      <w:szCs w:val="18"/>
    </w:rPr>
  </w:style>
  <w:style w:type="paragraph" w:styleId="BodyText">
    <w:name w:val="Body Text"/>
    <w:basedOn w:val="Normal"/>
    <w:link w:val="BodyTextChar"/>
    <w:uiPriority w:val="99"/>
    <w:semiHidden/>
    <w:unhideWhenUsed/>
    <w:rsid w:val="004B51B0"/>
    <w:pPr>
      <w:spacing w:after="120"/>
    </w:pPr>
  </w:style>
  <w:style w:type="character" w:customStyle="1" w:styleId="BodyTextChar">
    <w:name w:val="Body Text Char"/>
    <w:basedOn w:val="DefaultParagraphFont"/>
    <w:link w:val="BodyText"/>
    <w:uiPriority w:val="99"/>
    <w:semiHidden/>
    <w:rsid w:val="004B51B0"/>
    <w:rPr>
      <w:szCs w:val="24"/>
    </w:rPr>
  </w:style>
  <w:style w:type="paragraph" w:customStyle="1" w:styleId="TableNotes">
    <w:name w:val="Table Notes"/>
    <w:basedOn w:val="Normal"/>
    <w:qFormat/>
    <w:rsid w:val="00B229BB"/>
    <w:pPr>
      <w:spacing w:before="60" w:after="240"/>
      <w:ind w:left="284"/>
    </w:pPr>
    <w:rPr>
      <w:i/>
      <w:sz w:val="20"/>
    </w:rPr>
  </w:style>
  <w:style w:type="character" w:styleId="PlaceholderText">
    <w:name w:val="Placeholder Text"/>
    <w:basedOn w:val="DefaultParagraphFont"/>
    <w:uiPriority w:val="99"/>
    <w:semiHidden/>
    <w:rsid w:val="00674BC7"/>
    <w:rPr>
      <w:color w:val="808080"/>
    </w:rPr>
  </w:style>
  <w:style w:type="paragraph" w:styleId="Quote">
    <w:name w:val="Quote"/>
    <w:basedOn w:val="Normal"/>
    <w:next w:val="Normal"/>
    <w:link w:val="QuoteChar"/>
    <w:uiPriority w:val="29"/>
    <w:qFormat/>
    <w:rsid w:val="007F2F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2FEC"/>
    <w:rPr>
      <w:i/>
      <w:iCs/>
      <w:color w:val="404040" w:themeColor="text1" w:themeTint="BF"/>
      <w:szCs w:val="24"/>
    </w:rPr>
  </w:style>
  <w:style w:type="paragraph" w:customStyle="1" w:styleId="EndNoteBibliographyTitle">
    <w:name w:val="EndNote Bibliography Title"/>
    <w:basedOn w:val="Normal"/>
    <w:link w:val="EndNoteBibliographyTitleChar"/>
    <w:rsid w:val="00117DE4"/>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17DE4"/>
    <w:rPr>
      <w:rFonts w:ascii="Calibri" w:hAnsi="Calibri"/>
      <w:noProof/>
      <w:szCs w:val="24"/>
      <w:lang w:val="en-US"/>
    </w:rPr>
  </w:style>
  <w:style w:type="paragraph" w:customStyle="1" w:styleId="EndNoteBibliography">
    <w:name w:val="EndNote Bibliography"/>
    <w:basedOn w:val="Normal"/>
    <w:link w:val="EndNoteBibliographyChar"/>
    <w:rsid w:val="00117DE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17DE4"/>
    <w:rPr>
      <w:rFonts w:ascii="Calibri" w:hAnsi="Calibri"/>
      <w:noProof/>
      <w:szCs w:val="24"/>
      <w:lang w:val="en-US"/>
    </w:rPr>
  </w:style>
  <w:style w:type="character" w:customStyle="1" w:styleId="Heading5Char">
    <w:name w:val="Heading 5 Char"/>
    <w:basedOn w:val="DefaultParagraphFont"/>
    <w:link w:val="Heading5"/>
    <w:uiPriority w:val="9"/>
    <w:rsid w:val="00263951"/>
    <w:rPr>
      <w:rFonts w:asciiTheme="majorHAnsi" w:eastAsiaTheme="majorEastAsia" w:hAnsiTheme="majorHAnsi" w:cstheme="majorBidi"/>
      <w:color w:val="2E74B5" w:themeColor="accent1" w:themeShade="BF"/>
      <w:szCs w:val="24"/>
    </w:rPr>
  </w:style>
  <w:style w:type="paragraph" w:styleId="EndnoteText">
    <w:name w:val="endnote text"/>
    <w:basedOn w:val="Normal"/>
    <w:link w:val="EndnoteTextChar"/>
    <w:uiPriority w:val="99"/>
    <w:semiHidden/>
    <w:unhideWhenUsed/>
    <w:rsid w:val="007721E9"/>
    <w:rPr>
      <w:sz w:val="20"/>
      <w:szCs w:val="20"/>
    </w:rPr>
  </w:style>
  <w:style w:type="character" w:customStyle="1" w:styleId="EndnoteTextChar">
    <w:name w:val="Endnote Text Char"/>
    <w:basedOn w:val="DefaultParagraphFont"/>
    <w:link w:val="EndnoteText"/>
    <w:uiPriority w:val="99"/>
    <w:semiHidden/>
    <w:rsid w:val="007721E9"/>
    <w:rPr>
      <w:sz w:val="20"/>
      <w:szCs w:val="20"/>
    </w:rPr>
  </w:style>
  <w:style w:type="character" w:styleId="EndnoteReference">
    <w:name w:val="endnote reference"/>
    <w:basedOn w:val="DefaultParagraphFont"/>
    <w:uiPriority w:val="99"/>
    <w:semiHidden/>
    <w:unhideWhenUsed/>
    <w:rsid w:val="00772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97009">
      <w:bodyDiv w:val="1"/>
      <w:marLeft w:val="0"/>
      <w:marRight w:val="0"/>
      <w:marTop w:val="0"/>
      <w:marBottom w:val="0"/>
      <w:divBdr>
        <w:top w:val="none" w:sz="0" w:space="0" w:color="auto"/>
        <w:left w:val="none" w:sz="0" w:space="0" w:color="auto"/>
        <w:bottom w:val="none" w:sz="0" w:space="0" w:color="auto"/>
        <w:right w:val="none" w:sz="0" w:space="0" w:color="auto"/>
      </w:divBdr>
    </w:div>
    <w:div w:id="580141224">
      <w:bodyDiv w:val="1"/>
      <w:marLeft w:val="0"/>
      <w:marRight w:val="0"/>
      <w:marTop w:val="0"/>
      <w:marBottom w:val="0"/>
      <w:divBdr>
        <w:top w:val="none" w:sz="0" w:space="0" w:color="auto"/>
        <w:left w:val="none" w:sz="0" w:space="0" w:color="auto"/>
        <w:bottom w:val="none" w:sz="0" w:space="0" w:color="auto"/>
        <w:right w:val="none" w:sz="0" w:space="0" w:color="auto"/>
      </w:divBdr>
    </w:div>
    <w:div w:id="802621722">
      <w:bodyDiv w:val="1"/>
      <w:marLeft w:val="0"/>
      <w:marRight w:val="0"/>
      <w:marTop w:val="0"/>
      <w:marBottom w:val="0"/>
      <w:divBdr>
        <w:top w:val="none" w:sz="0" w:space="0" w:color="auto"/>
        <w:left w:val="none" w:sz="0" w:space="0" w:color="auto"/>
        <w:bottom w:val="none" w:sz="0" w:space="0" w:color="auto"/>
        <w:right w:val="none" w:sz="0" w:space="0" w:color="auto"/>
      </w:divBdr>
    </w:div>
    <w:div w:id="1094713708">
      <w:bodyDiv w:val="1"/>
      <w:marLeft w:val="0"/>
      <w:marRight w:val="0"/>
      <w:marTop w:val="0"/>
      <w:marBottom w:val="0"/>
      <w:divBdr>
        <w:top w:val="none" w:sz="0" w:space="0" w:color="auto"/>
        <w:left w:val="none" w:sz="0" w:space="0" w:color="auto"/>
        <w:bottom w:val="none" w:sz="0" w:space="0" w:color="auto"/>
        <w:right w:val="none" w:sz="0" w:space="0" w:color="auto"/>
      </w:divBdr>
    </w:div>
    <w:div w:id="1186139529">
      <w:bodyDiv w:val="1"/>
      <w:marLeft w:val="0"/>
      <w:marRight w:val="0"/>
      <w:marTop w:val="0"/>
      <w:marBottom w:val="0"/>
      <w:divBdr>
        <w:top w:val="none" w:sz="0" w:space="0" w:color="auto"/>
        <w:left w:val="none" w:sz="0" w:space="0" w:color="auto"/>
        <w:bottom w:val="none" w:sz="0" w:space="0" w:color="auto"/>
        <w:right w:val="none" w:sz="0" w:space="0" w:color="auto"/>
      </w:divBdr>
    </w:div>
    <w:div w:id="1422288751">
      <w:bodyDiv w:val="1"/>
      <w:marLeft w:val="0"/>
      <w:marRight w:val="0"/>
      <w:marTop w:val="0"/>
      <w:marBottom w:val="0"/>
      <w:divBdr>
        <w:top w:val="none" w:sz="0" w:space="0" w:color="auto"/>
        <w:left w:val="none" w:sz="0" w:space="0" w:color="auto"/>
        <w:bottom w:val="none" w:sz="0" w:space="0" w:color="auto"/>
        <w:right w:val="none" w:sz="0" w:space="0" w:color="auto"/>
      </w:divBdr>
    </w:div>
    <w:div w:id="1605765952">
      <w:bodyDiv w:val="1"/>
      <w:marLeft w:val="0"/>
      <w:marRight w:val="0"/>
      <w:marTop w:val="0"/>
      <w:marBottom w:val="0"/>
      <w:divBdr>
        <w:top w:val="none" w:sz="0" w:space="0" w:color="auto"/>
        <w:left w:val="none" w:sz="0" w:space="0" w:color="auto"/>
        <w:bottom w:val="none" w:sz="0" w:space="0" w:color="auto"/>
        <w:right w:val="none" w:sz="0" w:space="0" w:color="auto"/>
      </w:divBdr>
    </w:div>
    <w:div w:id="1705524693">
      <w:bodyDiv w:val="1"/>
      <w:marLeft w:val="0"/>
      <w:marRight w:val="0"/>
      <w:marTop w:val="0"/>
      <w:marBottom w:val="0"/>
      <w:divBdr>
        <w:top w:val="none" w:sz="0" w:space="0" w:color="auto"/>
        <w:left w:val="none" w:sz="0" w:space="0" w:color="auto"/>
        <w:bottom w:val="none" w:sz="0" w:space="0" w:color="auto"/>
        <w:right w:val="none" w:sz="0" w:space="0" w:color="auto"/>
      </w:divBdr>
    </w:div>
    <w:div w:id="1711763384">
      <w:bodyDiv w:val="1"/>
      <w:marLeft w:val="0"/>
      <w:marRight w:val="0"/>
      <w:marTop w:val="0"/>
      <w:marBottom w:val="0"/>
      <w:divBdr>
        <w:top w:val="none" w:sz="0" w:space="0" w:color="auto"/>
        <w:left w:val="none" w:sz="0" w:space="0" w:color="auto"/>
        <w:bottom w:val="none" w:sz="0" w:space="0" w:color="auto"/>
        <w:right w:val="none" w:sz="0" w:space="0" w:color="auto"/>
      </w:divBdr>
    </w:div>
    <w:div w:id="1960841175">
      <w:bodyDiv w:val="1"/>
      <w:marLeft w:val="0"/>
      <w:marRight w:val="0"/>
      <w:marTop w:val="0"/>
      <w:marBottom w:val="0"/>
      <w:divBdr>
        <w:top w:val="none" w:sz="0" w:space="0" w:color="auto"/>
        <w:left w:val="none" w:sz="0" w:space="0" w:color="auto"/>
        <w:bottom w:val="none" w:sz="0" w:space="0" w:color="auto"/>
        <w:right w:val="none" w:sz="0" w:space="0" w:color="auto"/>
      </w:divBdr>
    </w:div>
    <w:div w:id="2011524378">
      <w:bodyDiv w:val="1"/>
      <w:marLeft w:val="0"/>
      <w:marRight w:val="0"/>
      <w:marTop w:val="0"/>
      <w:marBottom w:val="0"/>
      <w:divBdr>
        <w:top w:val="none" w:sz="0" w:space="0" w:color="auto"/>
        <w:left w:val="none" w:sz="0" w:space="0" w:color="auto"/>
        <w:bottom w:val="none" w:sz="0" w:space="0" w:color="auto"/>
        <w:right w:val="none" w:sz="0" w:space="0" w:color="auto"/>
      </w:divBdr>
    </w:div>
    <w:div w:id="20941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guardian.com/society/2012/feb/05/benefit-cuts-fuelling-abuse-disabled-peop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log.american.com/2009/11/stigma-makes-generosity-feasib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log.whobenefits.org.uk/post/65117143114/launch-releas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nbaumberg.com/publications" TargetMode="External"/><Relationship Id="rId5" Type="http://schemas.openxmlformats.org/officeDocument/2006/relationships/settings" Target="settings.xml"/><Relationship Id="rId15" Type="http://schemas.openxmlformats.org/officeDocument/2006/relationships/hyperlink" Target="http://www.turn2us.org.uk/about_us/media_centre/press_releases/bam_2012_2.aspx"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x.doi.org/10.1017/S0047279415000525" TargetMode="External"/><Relationship Id="rId14" Type="http://schemas.openxmlformats.org/officeDocument/2006/relationships/hyperlink" Target="http://lartsocial.org/jamesturnerstr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4278-2AE8-40FA-B28D-E340AA1C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18510</Words>
  <Characters>105510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123773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cp:lastModifiedBy>
  <cp:revision>3</cp:revision>
  <dcterms:created xsi:type="dcterms:W3CDTF">2016-05-25T13:54:00Z</dcterms:created>
  <dcterms:modified xsi:type="dcterms:W3CDTF">2016-05-25T13:55:00Z</dcterms:modified>
</cp:coreProperties>
</file>