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426C5" w14:textId="1899154A" w:rsidR="00FA2B60" w:rsidRPr="00FA2B60" w:rsidRDefault="00FA2B60" w:rsidP="00FA2B60">
      <w:pPr>
        <w:spacing w:after="200"/>
        <w:rPr>
          <w:b/>
          <w:i/>
          <w:color w:val="FF0000"/>
          <w:sz w:val="28"/>
        </w:rPr>
      </w:pPr>
      <w:r w:rsidRPr="00FA2B60">
        <w:rPr>
          <w:b/>
          <w:i/>
          <w:color w:val="FF0000"/>
          <w:sz w:val="28"/>
        </w:rPr>
        <w:t xml:space="preserve">This is the </w:t>
      </w:r>
      <w:r>
        <w:rPr>
          <w:b/>
          <w:i/>
          <w:color w:val="FF0000"/>
          <w:sz w:val="28"/>
        </w:rPr>
        <w:t>post-</w:t>
      </w:r>
      <w:r w:rsidRPr="00FA2B60">
        <w:rPr>
          <w:b/>
          <w:i/>
          <w:color w:val="FF0000"/>
          <w:sz w:val="28"/>
        </w:rPr>
        <w:t xml:space="preserve">peer reviewed version </w:t>
      </w:r>
      <w:r>
        <w:rPr>
          <w:b/>
          <w:i/>
          <w:color w:val="FF0000"/>
          <w:sz w:val="28"/>
        </w:rPr>
        <w:t>(‘</w:t>
      </w:r>
      <w:bookmarkStart w:id="0" w:name="_GoBack"/>
      <w:bookmarkEnd w:id="0"/>
      <w:r>
        <w:rPr>
          <w:b/>
          <w:i/>
          <w:color w:val="FF0000"/>
          <w:sz w:val="28"/>
        </w:rPr>
        <w:t xml:space="preserve">post-print’) </w:t>
      </w:r>
      <w:r w:rsidRPr="00FA2B60">
        <w:rPr>
          <w:b/>
          <w:i/>
          <w:color w:val="FF0000"/>
          <w:sz w:val="28"/>
        </w:rPr>
        <w:t xml:space="preserve">of the following article: </w:t>
      </w:r>
    </w:p>
    <w:p w14:paraId="7EE03E56" w14:textId="77777777" w:rsidR="00FA2B60" w:rsidRPr="00FA2B60" w:rsidRDefault="00FA2B60" w:rsidP="00FA2B60">
      <w:pPr>
        <w:pStyle w:val="ListParagraph"/>
        <w:numPr>
          <w:ilvl w:val="0"/>
          <w:numId w:val="22"/>
        </w:numPr>
        <w:spacing w:after="200" w:line="240" w:lineRule="auto"/>
        <w:rPr>
          <w:color w:val="FF0000"/>
          <w:sz w:val="28"/>
        </w:rPr>
      </w:pPr>
      <w:r w:rsidRPr="00FA2B60">
        <w:rPr>
          <w:color w:val="FF0000"/>
          <w:sz w:val="28"/>
        </w:rPr>
        <w:t xml:space="preserve">‘From Impairment to Incapacity – Educational Inequalities in Disabled People's Ability to Work’, </w:t>
      </w:r>
      <w:r w:rsidRPr="00FA2B60">
        <w:rPr>
          <w:i/>
          <w:color w:val="FF0000"/>
          <w:sz w:val="28"/>
        </w:rPr>
        <w:t>Social Policy &amp; Administration</w:t>
      </w:r>
      <w:r w:rsidRPr="00FA2B60">
        <w:rPr>
          <w:color w:val="FF0000"/>
          <w:sz w:val="28"/>
        </w:rPr>
        <w:t xml:space="preserve"> 49(2):182-198. </w:t>
      </w:r>
    </w:p>
    <w:p w14:paraId="7BC4634C" w14:textId="77777777" w:rsidR="00FA2B60" w:rsidRPr="00FA2B60" w:rsidRDefault="00FA2B60" w:rsidP="00FA2B60">
      <w:pPr>
        <w:spacing w:after="200"/>
        <w:rPr>
          <w:b/>
          <w:i/>
          <w:color w:val="FF0000"/>
          <w:sz w:val="28"/>
        </w:rPr>
      </w:pPr>
      <w:r w:rsidRPr="00FA2B60">
        <w:rPr>
          <w:b/>
          <w:i/>
          <w:color w:val="FF0000"/>
          <w:sz w:val="28"/>
        </w:rPr>
        <w:t xml:space="preserve">…which has been published in final form at </w:t>
      </w:r>
      <w:hyperlink r:id="rId9" w:history="1">
        <w:r w:rsidRPr="00FA2B60">
          <w:rPr>
            <w:rStyle w:val="Hyperlink"/>
            <w:b/>
            <w:i/>
            <w:sz w:val="28"/>
          </w:rPr>
          <w:t>http://dx.doi.org/10.1111/spol.12118</w:t>
        </w:r>
      </w:hyperlink>
      <w:r w:rsidRPr="00FA2B60">
        <w:rPr>
          <w:b/>
          <w:i/>
          <w:color w:val="FF0000"/>
          <w:sz w:val="28"/>
        </w:rPr>
        <w:t xml:space="preserve">   </w:t>
      </w:r>
    </w:p>
    <w:p w14:paraId="1867764C" w14:textId="77777777" w:rsidR="00FA2B60" w:rsidRDefault="00FA2B60">
      <w:pPr>
        <w:spacing w:after="200"/>
        <w:rPr>
          <w:rFonts w:asciiTheme="majorHAnsi" w:eastAsiaTheme="majorEastAsia" w:hAnsiTheme="majorHAnsi" w:cstheme="majorBidi"/>
          <w:b/>
          <w:bCs/>
          <w:sz w:val="28"/>
          <w:szCs w:val="28"/>
        </w:rPr>
      </w:pPr>
      <w:r>
        <w:br w:type="page"/>
      </w:r>
    </w:p>
    <w:p w14:paraId="4C814CA1" w14:textId="382256C4" w:rsidR="00DE16FC" w:rsidRPr="0062202D" w:rsidRDefault="001C56DF" w:rsidP="00947E73">
      <w:pPr>
        <w:pStyle w:val="Heading1"/>
        <w:spacing w:line="480" w:lineRule="auto"/>
        <w:jc w:val="center"/>
      </w:pPr>
      <w:r w:rsidRPr="0062202D">
        <w:lastRenderedPageBreak/>
        <w:t xml:space="preserve">From </w:t>
      </w:r>
      <w:r w:rsidR="00DE16FC" w:rsidRPr="0062202D">
        <w:t>I</w:t>
      </w:r>
      <w:r w:rsidRPr="0062202D">
        <w:t xml:space="preserve">mpairment to </w:t>
      </w:r>
      <w:r w:rsidR="00DE16FC" w:rsidRPr="0062202D">
        <w:t>I</w:t>
      </w:r>
      <w:r w:rsidRPr="0062202D">
        <w:t>ncapacity</w:t>
      </w:r>
      <w:r w:rsidR="00DE16FC" w:rsidRPr="0062202D">
        <w:t>:</w:t>
      </w:r>
    </w:p>
    <w:p w14:paraId="1765AAC9" w14:textId="717ACFC3" w:rsidR="00042F7F" w:rsidRDefault="007E4AD0" w:rsidP="00947E73">
      <w:pPr>
        <w:pStyle w:val="Heading1"/>
        <w:spacing w:before="0" w:line="480" w:lineRule="auto"/>
        <w:jc w:val="center"/>
      </w:pPr>
      <w:r w:rsidRPr="00F159ED">
        <w:t>Educational i</w:t>
      </w:r>
      <w:r w:rsidR="00E02240" w:rsidRPr="00F159ED">
        <w:t xml:space="preserve">nequalities </w:t>
      </w:r>
      <w:r w:rsidR="00F159ED" w:rsidRPr="00F159ED">
        <w:t xml:space="preserve">in </w:t>
      </w:r>
      <w:r w:rsidR="0098415C">
        <w:t>disabled people’s ability to work</w:t>
      </w:r>
    </w:p>
    <w:p w14:paraId="7FC58102" w14:textId="50EDDEAC" w:rsidR="00042F7F" w:rsidRDefault="00EF340C" w:rsidP="00947E73">
      <w:pPr>
        <w:spacing w:line="480" w:lineRule="auto"/>
      </w:pPr>
      <w:r>
        <w:t xml:space="preserve">Ben Baumberg, </w:t>
      </w:r>
      <w:r w:rsidR="00042F7F">
        <w:t>School of Social Policy, Sociology &amp; Social Research (SSPSSR), University of Kent, Canterbury, UK</w:t>
      </w:r>
      <w:r>
        <w:t xml:space="preserve">, </w:t>
      </w:r>
      <w:hyperlink r:id="rId10" w:history="1">
        <w:r w:rsidR="00042F7F" w:rsidRPr="00B15499">
          <w:rPr>
            <w:rStyle w:val="Hyperlink"/>
          </w:rPr>
          <w:t>b.p.baumberg@kent.ac.uk</w:t>
        </w:r>
      </w:hyperlink>
      <w:r w:rsidR="00042F7F">
        <w:t xml:space="preserve"> </w:t>
      </w:r>
    </w:p>
    <w:p w14:paraId="69453596" w14:textId="652F64F3" w:rsidR="00817B13" w:rsidRDefault="00947E73" w:rsidP="00947E73">
      <w:pPr>
        <w:spacing w:line="480" w:lineRule="auto"/>
      </w:pPr>
      <w:r w:rsidRPr="00947E73">
        <w:rPr>
          <w:b/>
        </w:rPr>
        <w:t>Abstract</w:t>
      </w:r>
      <w:r>
        <w:t xml:space="preserve">: </w:t>
      </w:r>
      <w:r w:rsidR="00183A74" w:rsidRPr="00377A1B">
        <w:t>Significant numbers of working-age people in high-income countries claim benefits due to incapacity.  This is conventionally explained as the result of people rationally ‘choosing’ to claim benefits, or as ‘hidden unemployment’ due to a lack of jobs, with claim rates much higher among the low-qualified.  However, neither account considers whether low-qualified people find it harder to deal with an impairment in the workplace</w:t>
      </w:r>
      <w:r w:rsidR="00183A74">
        <w:t>,</w:t>
      </w:r>
      <w:r w:rsidR="00183A74" w:rsidRPr="00377A1B">
        <w:t xml:space="preserve"> and are therefore </w:t>
      </w:r>
      <w:r w:rsidR="00183A74" w:rsidRPr="00A56ADA">
        <w:rPr>
          <w:i/>
        </w:rPr>
        <w:t>genuinely</w:t>
      </w:r>
      <w:r w:rsidR="00183A74" w:rsidRPr="00377A1B">
        <w:t xml:space="preserve"> more incapacitated.  This study explores these issues using 32 depth </w:t>
      </w:r>
      <w:r w:rsidR="00183A74">
        <w:t>interviews in England in 2009/</w:t>
      </w:r>
      <w:r w:rsidR="00183A74" w:rsidRPr="00377A1B">
        <w:t xml:space="preserve">10.  </w:t>
      </w:r>
      <w:r w:rsidR="00183A74">
        <w:t xml:space="preserve">It finds that there are considerable differences in people’s ability to respond to impairments, with some – but only some –able to avoid incapacity through workplace flexibility, adjustments, or changing jobs.  Better-educated people had more of these choices, partly because education is associated with job flexibility (which allows people to work around their impairments).  Education also played a direct role; it is not just the case that less employable people found it harder to get work (‘hidden unemployment’), but that they found it harder to get </w:t>
      </w:r>
      <w:r w:rsidR="00183A74">
        <w:rPr>
          <w:i/>
        </w:rPr>
        <w:t>suitable</w:t>
      </w:r>
      <w:r w:rsidR="00183A74">
        <w:t xml:space="preserve"> work, and were therefore genuinely incapacitated.  </w:t>
      </w:r>
      <w:r w:rsidR="00183A74" w:rsidRPr="00377A1B">
        <w:t xml:space="preserve">It was therefore only some lower-qualified people who were left in a ‘Catch-22’ situation where they were not fit enough to </w:t>
      </w:r>
      <w:r w:rsidR="00183A74">
        <w:t xml:space="preserve">do </w:t>
      </w:r>
      <w:r w:rsidR="00183A74" w:rsidRPr="00377A1B">
        <w:t xml:space="preserve">jobs they could get, and not employable enough to get jobs they </w:t>
      </w:r>
      <w:r w:rsidR="00183A74">
        <w:t xml:space="preserve">were fit to </w:t>
      </w:r>
      <w:r w:rsidR="00183A74" w:rsidRPr="00377A1B">
        <w:t xml:space="preserve">do.  Moreover, </w:t>
      </w:r>
      <w:r w:rsidR="00183A74">
        <w:t xml:space="preserve">there were further inequalities </w:t>
      </w:r>
      <w:r w:rsidR="00183A74" w:rsidRPr="00377A1B">
        <w:t xml:space="preserve">among those with partial fitness-for-work limitations, </w:t>
      </w:r>
      <w:r w:rsidR="00183A74">
        <w:t xml:space="preserve">with </w:t>
      </w:r>
      <w:r w:rsidR="00183A74" w:rsidRPr="00377A1B">
        <w:t xml:space="preserve">wealthier people </w:t>
      </w:r>
      <w:r w:rsidR="00183A74">
        <w:t xml:space="preserve">having </w:t>
      </w:r>
      <w:r w:rsidR="00183A74" w:rsidRPr="00377A1B">
        <w:t>more choice</w:t>
      </w:r>
      <w:r w:rsidR="00183A74">
        <w:t>s around ‘struggling</w:t>
      </w:r>
      <w:r w:rsidR="00183A74" w:rsidRPr="00377A1B">
        <w:t xml:space="preserve"> on’.  The paper concludes by drawing together the implications for research and policy.  </w:t>
      </w:r>
    </w:p>
    <w:p w14:paraId="5657BD1D" w14:textId="37C73591" w:rsidR="0008395D" w:rsidRPr="0008395D" w:rsidRDefault="00F64FE4" w:rsidP="00947E73">
      <w:pPr>
        <w:spacing w:after="0"/>
      </w:pPr>
      <w:r w:rsidRPr="00947E73">
        <w:rPr>
          <w:b/>
        </w:rPr>
        <w:t>Keywords</w:t>
      </w:r>
      <w:r w:rsidR="00947E73">
        <w:t xml:space="preserve">: </w:t>
      </w:r>
      <w:r w:rsidR="0008395D">
        <w:t xml:space="preserve">Disability; Incapacity; Working conditions; Education; </w:t>
      </w:r>
      <w:r w:rsidR="0098415C">
        <w:t xml:space="preserve">Employability; </w:t>
      </w:r>
      <w:r w:rsidR="0008395D">
        <w:t>Hidden unemployment</w:t>
      </w:r>
    </w:p>
    <w:p w14:paraId="010F9820" w14:textId="6640B8DC" w:rsidR="00F64FE4" w:rsidRDefault="0008395D" w:rsidP="00947E73">
      <w:pPr>
        <w:spacing w:after="0"/>
        <w:rPr>
          <w:rFonts w:asciiTheme="majorHAnsi" w:eastAsiaTheme="majorEastAsia" w:hAnsiTheme="majorHAnsi" w:cstheme="majorBidi"/>
          <w:b/>
          <w:bCs/>
          <w:sz w:val="28"/>
          <w:szCs w:val="28"/>
        </w:rPr>
      </w:pPr>
      <w:r w:rsidRPr="00947E73">
        <w:rPr>
          <w:b/>
        </w:rPr>
        <w:t>Word count</w:t>
      </w:r>
      <w:r>
        <w:t xml:space="preserve">: </w:t>
      </w:r>
      <w:r w:rsidR="00377A1B">
        <w:t>79</w:t>
      </w:r>
      <w:r w:rsidR="00E14C84">
        <w:t>94</w:t>
      </w:r>
      <w:r>
        <w:t xml:space="preserve"> words</w:t>
      </w:r>
      <w:r w:rsidR="003242B5">
        <w:t xml:space="preserve"> inc. bibliography/table/footnotes/acknowledgements but excluding title/abstract/keywords.</w:t>
      </w:r>
      <w:r w:rsidR="00F64FE4">
        <w:br w:type="page"/>
      </w:r>
    </w:p>
    <w:p w14:paraId="30A207C9" w14:textId="3077DABF" w:rsidR="00E30A87" w:rsidRDefault="00E30A87" w:rsidP="00947E73">
      <w:pPr>
        <w:pStyle w:val="Heading1"/>
        <w:spacing w:line="480" w:lineRule="auto"/>
      </w:pPr>
      <w:r>
        <w:lastRenderedPageBreak/>
        <w:t>Introduction</w:t>
      </w:r>
    </w:p>
    <w:p w14:paraId="5311855C" w14:textId="5C00B00E" w:rsidR="00CE2B0C" w:rsidRDefault="00C66EBA" w:rsidP="00947E73">
      <w:pPr>
        <w:spacing w:line="480" w:lineRule="auto"/>
      </w:pPr>
      <w:r>
        <w:t>Prior to the financial crisis, 6% of the working-age population in OECD countries were claiming disability</w:t>
      </w:r>
      <w:r w:rsidR="00CE2B0C">
        <w:t>-related</w:t>
      </w:r>
      <w:r>
        <w:t xml:space="preserve"> benefits </w:t>
      </w:r>
      <w:r w:rsidR="00390DAE">
        <w:fldChar w:fldCharType="begin"/>
      </w:r>
      <w:r w:rsidR="00390DAE">
        <w:instrText xml:space="preserve"> ADDIN EN.CITE &lt;EndNote&gt;&lt;Cite&gt;&lt;Author&gt;OECD&lt;/Author&gt;&lt;Year&gt;2010&lt;/Year&gt;&lt;RecNum&gt;1246&lt;/RecNum&gt;&lt;Suffix&gt;:59&lt;/Suffix&gt;&lt;DisplayText&gt;(OECD 2010:59)&lt;/DisplayText&gt;&lt;record&gt;&lt;rec-number&gt;1246&lt;/rec-number&gt;&lt;foreign-keys&gt;&lt;key app="EN" db-id="0r2ffr5x6st05beff5rper2ax9sw5d9w0vzp" timestamp="0"&gt;1246&lt;/key&gt;&lt;/foreign-keys&gt;&lt;ref-type name="Report"&gt;27&lt;/ref-type&gt;&lt;contributors&gt;&lt;authors&gt;&lt;author&gt;OECD,&lt;/author&gt;&lt;/authors&gt;&lt;/contributors&gt;&lt;titles&gt;&lt;title&gt;Sickness, Disability and Work: breaking the barriers.  A synthesis of findings across OECD countries&lt;/title&gt;&lt;/titles&gt;&lt;dates&gt;&lt;year&gt;2010&lt;/year&gt;&lt;/dates&gt;&lt;pub-location&gt;Paris&lt;/pub-location&gt;&lt;publisher&gt;OECD&lt;/publisher&gt;&lt;urls&gt;&lt;related-urls&gt;&lt;url&gt;http://www.oecd-ilibrary.org/social-issues-migration-health/sickness-disability-and-work-breaking-the-barriers_9789264088856-en&lt;/url&gt;&lt;/related-urls&gt;&lt;/urls&gt;&lt;custom1&gt;Skimmed(section on employers)&lt;/custom1&gt;&lt;/record&gt;&lt;/Cite&gt;&lt;/EndNote&gt;</w:instrText>
      </w:r>
      <w:r w:rsidR="00390DAE">
        <w:fldChar w:fldCharType="separate"/>
      </w:r>
      <w:r w:rsidR="00390DAE">
        <w:rPr>
          <w:noProof/>
        </w:rPr>
        <w:t>(</w:t>
      </w:r>
      <w:hyperlink w:anchor="_ENREF_33" w:tooltip="OECD, 2010 #1246" w:history="1">
        <w:r w:rsidR="003242B5">
          <w:rPr>
            <w:noProof/>
          </w:rPr>
          <w:t>OECD 2010:59</w:t>
        </w:r>
      </w:hyperlink>
      <w:r w:rsidR="00390DAE">
        <w:rPr>
          <w:noProof/>
        </w:rPr>
        <w:t>)</w:t>
      </w:r>
      <w:r w:rsidR="00390DAE">
        <w:fldChar w:fldCharType="end"/>
      </w:r>
      <w:r w:rsidR="00CE2B0C">
        <w:t xml:space="preserve">.  </w:t>
      </w:r>
      <w:r w:rsidR="001C1AA5">
        <w:t xml:space="preserve">While more recent figures on benefits claims are hard to come by, </w:t>
      </w:r>
      <w:r w:rsidR="00CE2B0C">
        <w:t xml:space="preserve">in </w:t>
      </w:r>
      <w:r w:rsidR="00AD7A27">
        <w:t>201</w:t>
      </w:r>
      <w:r w:rsidR="0026360B">
        <w:t>3</w:t>
      </w:r>
      <w:r w:rsidR="00CE2B0C">
        <w:t xml:space="preserve"> </w:t>
      </w:r>
      <w:r w:rsidR="00AD7A27">
        <w:t>the</w:t>
      </w:r>
      <w:r w:rsidR="001C1AA5">
        <w:t xml:space="preserve">re were still more </w:t>
      </w:r>
      <w:r w:rsidR="00AD7A27">
        <w:t xml:space="preserve">working-age (15-64) people inactive due to illness, disability or retirement across the EU </w:t>
      </w:r>
      <w:r w:rsidR="00C01295">
        <w:t xml:space="preserve">than the number </w:t>
      </w:r>
      <w:r w:rsidR="001C1AA5">
        <w:t xml:space="preserve">who were </w:t>
      </w:r>
      <w:r w:rsidR="00AD7A27">
        <w:t>unemployed</w:t>
      </w:r>
      <w:r w:rsidR="00B771B9">
        <w:t>.</w:t>
      </w:r>
      <w:r w:rsidR="00390DAE" w:rsidRPr="00390DAE">
        <w:rPr>
          <w:vertAlign w:val="superscript"/>
        </w:rPr>
        <w:t>1</w:t>
      </w:r>
      <w:r w:rsidR="00390DAE">
        <w:t xml:space="preserve"> </w:t>
      </w:r>
      <w:r w:rsidR="000D06AA">
        <w:t xml:space="preserve"> </w:t>
      </w:r>
      <w:r w:rsidR="001C1AA5">
        <w:t>The</w:t>
      </w:r>
      <w:r w:rsidR="00CE2E92">
        <w:t xml:space="preserve"> distinction </w:t>
      </w:r>
      <w:r w:rsidR="001C1AA5">
        <w:t xml:space="preserve">between unemployment and disability-related benefits </w:t>
      </w:r>
      <w:r w:rsidR="00746DE9">
        <w:t xml:space="preserve">is important </w:t>
      </w:r>
      <w:r w:rsidR="001C1AA5">
        <w:t>because incapacitated people</w:t>
      </w:r>
      <w:r w:rsidR="00CE2E92">
        <w:t xml:space="preserve"> – </w:t>
      </w:r>
      <w:r w:rsidR="001C1AA5">
        <w:t xml:space="preserve">i.e. those who unable to </w:t>
      </w:r>
      <w:r w:rsidR="00CE2E92">
        <w:t xml:space="preserve">work </w:t>
      </w:r>
      <w:r w:rsidR="001C1AA5">
        <w:t xml:space="preserve">due to sickness </w:t>
      </w:r>
      <w:r w:rsidR="00936BDF">
        <w:t xml:space="preserve">or </w:t>
      </w:r>
      <w:r w:rsidR="001C1AA5">
        <w:t xml:space="preserve">disability </w:t>
      </w:r>
      <w:r w:rsidR="00CE2E92">
        <w:t>–</w:t>
      </w:r>
      <w:r w:rsidR="001C1AA5">
        <w:t xml:space="preserve"> are widely felt to deserve special treatment </w:t>
      </w:r>
      <w:r w:rsidR="00390DAE">
        <w:fldChar w:fldCharType="begin"/>
      </w:r>
      <w:r w:rsidR="00390DAE">
        <w:instrText xml:space="preserve"> ADDIN EN.CITE &lt;EndNote&gt;&lt;Cite&gt;&lt;Author&gt;van Oorschot&lt;/Author&gt;&lt;Year&gt;2006&lt;/Year&gt;&lt;RecNum&gt;1675&lt;/RecNum&gt;&lt;DisplayText&gt;(van Oorschot 2006)&lt;/DisplayText&gt;&lt;record&gt;&lt;rec-number&gt;1675&lt;/rec-number&gt;&lt;foreign-keys&gt;&lt;key app="EN" db-id="0r2ffr5x6st05beff5rper2ax9sw5d9w0vzp" timestamp="0"&gt;1675&lt;/key&gt;&lt;/foreign-keys&gt;&lt;ref-type name="Journal Article"&gt;17&lt;/ref-type&gt;&lt;contributors&gt;&lt;authors&gt;&lt;author&gt;van Oorschot, Wim&lt;/author&gt;&lt;/authors&gt;&lt;/contributors&gt;&lt;titles&gt;&lt;title&gt;Making the difference in social Europe: deservingness perceptions among citizens of European welfare states&lt;/title&gt;&lt;secondary-title&gt;Journal of European Social Policy&lt;/secondary-title&gt;&lt;/titles&gt;&lt;periodical&gt;&lt;full-title&gt;Journal of European Social Policy&lt;/full-title&gt;&lt;/periodical&gt;&lt;pages&gt;23-42&lt;/pages&gt;&lt;volume&gt;16&lt;/volume&gt;&lt;number&gt;1&lt;/number&gt;&lt;dates&gt;&lt;year&gt;2006&lt;/year&gt;&lt;/dates&gt;&lt;urls&gt;&lt;/urls&gt;&lt;electronic-resource-num&gt;DOI: 10.1177/0958928706059829&lt;/electronic-resource-num&gt;&lt;/record&gt;&lt;/Cite&gt;&lt;/EndNote&gt;</w:instrText>
      </w:r>
      <w:r w:rsidR="00390DAE">
        <w:fldChar w:fldCharType="separate"/>
      </w:r>
      <w:r w:rsidR="00390DAE">
        <w:rPr>
          <w:noProof/>
        </w:rPr>
        <w:t>(</w:t>
      </w:r>
      <w:hyperlink w:anchor="_ENREF_40" w:tooltip="van Oorschot, 2006 #1675" w:history="1">
        <w:r w:rsidR="003242B5">
          <w:rPr>
            <w:noProof/>
          </w:rPr>
          <w:t>van Oorschot 2006</w:t>
        </w:r>
      </w:hyperlink>
      <w:r w:rsidR="00390DAE">
        <w:rPr>
          <w:noProof/>
        </w:rPr>
        <w:t>)</w:t>
      </w:r>
      <w:r w:rsidR="00390DAE">
        <w:fldChar w:fldCharType="end"/>
      </w:r>
      <w:r w:rsidR="001C1AA5">
        <w:t xml:space="preserve">.  As a result incapacity benefits predate unemployment benefits </w:t>
      </w:r>
      <w:r w:rsidR="00390DAE">
        <w:fldChar w:fldCharType="begin"/>
      </w:r>
      <w:r w:rsidR="00390DAE">
        <w:instrText xml:space="preserve"> ADDIN EN.CITE &lt;EndNote&gt;&lt;Cite&gt;&lt;Author&gt;Kangas&lt;/Author&gt;&lt;Year&gt;2010&lt;/Year&gt;&lt;RecNum&gt;1678&lt;/RecNum&gt;&lt;DisplayText&gt;(Kangas 2010)&lt;/DisplayText&gt;&lt;record&gt;&lt;rec-number&gt;1678&lt;/rec-number&gt;&lt;foreign-keys&gt;&lt;key app="EN" db-id="0r2ffr5x6st05beff5rper2ax9sw5d9w0vzp" timestamp="1347289983"&gt;1678&lt;/key&gt;&lt;/foreign-keys&gt;&lt;ref-type name="Book Section"&gt;5&lt;/ref-type&gt;&lt;contributors&gt;&lt;authors&gt;&lt;author&gt;Kangas,O&lt;/author&gt;&lt;/authors&gt;&lt;secondary-authors&gt;&lt;author&gt;Castles, F&lt;/author&gt;&lt;/secondary-authors&gt;&lt;/contributors&gt;&lt;titles&gt;&lt;title&gt;Work Accident and Sickness Benefits&lt;/title&gt;&lt;secondary-title&gt;Oxford Handbook of the Welfare State&lt;/secondary-title&gt;&lt;/titles&gt;&lt;section&gt;27&lt;/section&gt;&lt;dates&gt;&lt;year&gt;2010&lt;/year&gt;&lt;/dates&gt;&lt;pub-location&gt;Oxford&lt;/pub-location&gt;&lt;publisher&gt;Oxford University Press&lt;/publisher&gt;&lt;urls&gt;&lt;/urls&gt;&lt;research-notes&gt;e-book from https://catalogue.kent.ac.uk/Record/754877&lt;/research-notes&gt;&lt;/record&gt;&lt;/Cite&gt;&lt;/EndNote&gt;</w:instrText>
      </w:r>
      <w:r w:rsidR="00390DAE">
        <w:fldChar w:fldCharType="separate"/>
      </w:r>
      <w:r w:rsidR="00390DAE">
        <w:rPr>
          <w:noProof/>
        </w:rPr>
        <w:t>(</w:t>
      </w:r>
      <w:hyperlink w:anchor="_ENREF_20" w:tooltip="Kangas, 2010 #1678" w:history="1">
        <w:r w:rsidR="003242B5">
          <w:rPr>
            <w:noProof/>
          </w:rPr>
          <w:t>Kangas 2010</w:t>
        </w:r>
      </w:hyperlink>
      <w:r w:rsidR="00390DAE">
        <w:rPr>
          <w:noProof/>
        </w:rPr>
        <w:t>)</w:t>
      </w:r>
      <w:r w:rsidR="00390DAE">
        <w:fldChar w:fldCharType="end"/>
      </w:r>
      <w:r w:rsidR="001C1AA5">
        <w:t xml:space="preserve">, and </w:t>
      </w:r>
      <w:r w:rsidR="00EF340C">
        <w:t xml:space="preserve">while there has been an increasing activation of incapacity claimants, they still </w:t>
      </w:r>
      <w:r w:rsidR="00C82753">
        <w:t xml:space="preserve">generally </w:t>
      </w:r>
      <w:r w:rsidR="001C1AA5">
        <w:t xml:space="preserve">receive higher </w:t>
      </w:r>
      <w:r w:rsidR="00CE2E92">
        <w:t xml:space="preserve">benefit </w:t>
      </w:r>
      <w:r w:rsidR="00C82753">
        <w:t xml:space="preserve">levels </w:t>
      </w:r>
      <w:r w:rsidR="001C1AA5">
        <w:t xml:space="preserve">with fewer </w:t>
      </w:r>
      <w:r w:rsidR="00CE2E92">
        <w:t>attached conditions</w:t>
      </w:r>
      <w:r w:rsidR="00CE2B0C">
        <w:t>.</w:t>
      </w:r>
    </w:p>
    <w:p w14:paraId="42138C55" w14:textId="4B943571" w:rsidR="003A03E5" w:rsidRDefault="005C3DF5" w:rsidP="00947E73">
      <w:pPr>
        <w:spacing w:line="480" w:lineRule="auto"/>
      </w:pPr>
      <w:r>
        <w:t>T</w:t>
      </w:r>
      <w:r w:rsidR="00A05529">
        <w:t xml:space="preserve">he most common interpretation </w:t>
      </w:r>
      <w:r w:rsidR="007E4AD0">
        <w:t xml:space="preserve">is that these </w:t>
      </w:r>
      <w:r w:rsidR="00995905">
        <w:t xml:space="preserve">high </w:t>
      </w:r>
      <w:r w:rsidR="004B61B8">
        <w:t xml:space="preserve">incapacity </w:t>
      </w:r>
      <w:r w:rsidR="007E4AD0">
        <w:t xml:space="preserve">claim </w:t>
      </w:r>
      <w:r w:rsidR="00995905">
        <w:t xml:space="preserve">levels </w:t>
      </w:r>
      <w:r w:rsidR="007E4AD0">
        <w:t xml:space="preserve">do </w:t>
      </w:r>
      <w:r w:rsidR="00A05529">
        <w:rPr>
          <w:i/>
        </w:rPr>
        <w:t xml:space="preserve">not </w:t>
      </w:r>
      <w:r w:rsidR="00A05529">
        <w:t xml:space="preserve">reflect genuinely high levels of an inability to work.  Instead, bodies such as the OECD </w:t>
      </w:r>
      <w:r w:rsidR="00390DAE">
        <w:fldChar w:fldCharType="begin"/>
      </w:r>
      <w:r w:rsidR="00390DAE">
        <w:instrText xml:space="preserve"> ADDIN EN.CITE &lt;EndNote&gt;&lt;Cite ExcludeAuth="1"&gt;&lt;Author&gt;OECD&lt;/Author&gt;&lt;Year&gt;2003&lt;/Year&gt;&lt;RecNum&gt;227&lt;/RecNum&gt;&lt;Suffix&gt;:169&lt;/Suffix&gt;&lt;DisplayText&gt;(2003:169)&lt;/DisplayText&gt;&lt;record&gt;&lt;rec-number&gt;227&lt;/rec-number&gt;&lt;foreign-keys&gt;&lt;key app="EN" db-id="0r2ffr5x6st05beff5rper2ax9sw5d9w0vzp" timestamp="0"&gt;227&lt;/key&gt;&lt;/foreign-keys&gt;&lt;ref-type name="Report"&gt;27&lt;/ref-type&gt;&lt;contributors&gt;&lt;authors&gt;&lt;author&gt;OECD,&lt;/author&gt;&lt;/authors&gt;&lt;/contributors&gt;&lt;titles&gt;&lt;title&gt;Transforming Disability into Ability: Policies to Promote Work and Income Security for Disabled People&lt;/title&gt;&lt;/titles&gt;&lt;keywords&gt;&lt;keyword&gt;medical assessment&lt;/keyword&gt;&lt;keyword&gt;transitions - benefits&lt;/keyword&gt;&lt;keyword&gt;conditions - mental health&lt;/keyword&gt;&lt;keyword&gt;policy - policy context&lt;/keyword&gt;&lt;keyword&gt;demographics - age/cohort&lt;/keyword&gt;&lt;/keywords&gt;&lt;dates&gt;&lt;year&gt;2003&lt;/year&gt;&lt;/dates&gt;&lt;pub-location&gt;Paris&lt;/pub-location&gt;&lt;publisher&gt;OECD&lt;/publisher&gt;&lt;urls&gt;&lt;related-urls&gt;&lt;url&gt;&lt;style face="underline" font="default" size="100%"&gt;http://www.sourceoecd.org/&lt;/style&gt;&lt;/url&gt;&lt;/related-urls&gt;&lt;/urls&gt;&lt;custom1&gt;Read&lt;/custom1&gt;&lt;custom3&gt;Australia&amp;#xD;Austria&amp;#xD;Belgium&amp;#xD;Canada&amp;#xD;Denmark&amp;#xD;France&amp;#xD;Germany&amp;#xD;Italy&amp;#xD;Korea&amp;#xD;Mexico&amp;#xD;Netherlands&amp;#xD;Norway&amp;#xD;Poland&amp;#xD;Portugal&amp;#xD;Spain&amp;#xD;Sweden&amp;#xD;Switzerland&amp;#xD;Turkey&amp;#xD;UK&amp;#xD;US&lt;/custom3&gt;&lt;/record&gt;&lt;/Cite&gt;&lt;/EndNote&gt;</w:instrText>
      </w:r>
      <w:r w:rsidR="00390DAE">
        <w:fldChar w:fldCharType="separate"/>
      </w:r>
      <w:r w:rsidR="00390DAE">
        <w:rPr>
          <w:noProof/>
        </w:rPr>
        <w:t>(</w:t>
      </w:r>
      <w:hyperlink w:anchor="_ENREF_32" w:tooltip="OECD, 2003 #227" w:history="1">
        <w:r w:rsidR="003242B5">
          <w:rPr>
            <w:noProof/>
          </w:rPr>
          <w:t>2003:169</w:t>
        </w:r>
      </w:hyperlink>
      <w:r w:rsidR="00390DAE">
        <w:rPr>
          <w:noProof/>
        </w:rPr>
        <w:t>)</w:t>
      </w:r>
      <w:r w:rsidR="00390DAE">
        <w:fldChar w:fldCharType="end"/>
      </w:r>
      <w:r w:rsidR="00A05529">
        <w:t xml:space="preserve"> argue that there has been a ‘policy failure’ that encourages people to </w:t>
      </w:r>
      <w:r w:rsidR="00EB2202" w:rsidRPr="006270D5">
        <w:rPr>
          <w:i/>
        </w:rPr>
        <w:t>choose</w:t>
      </w:r>
      <w:r w:rsidR="00EB2202">
        <w:t xml:space="preserve"> to </w:t>
      </w:r>
      <w:r w:rsidR="00A05529">
        <w:t xml:space="preserve">claim incapacity benefits.  Partly this reflects </w:t>
      </w:r>
      <w:r w:rsidR="003A03E5">
        <w:t>an economic model</w:t>
      </w:r>
      <w:r w:rsidR="00A05529">
        <w:t xml:space="preserve"> of rational decision-making, </w:t>
      </w:r>
      <w:r w:rsidR="003A03E5">
        <w:t xml:space="preserve">given evidence that claimant rates are influenced by incentives </w:t>
      </w:r>
      <w:r w:rsidR="00390DAE">
        <w:fldChar w:fldCharType="begin"/>
      </w:r>
      <w:r w:rsidR="00390DAE">
        <w:instrText xml:space="preserve"> ADDIN EN.CITE &lt;EndNote&gt;&lt;Cite&gt;&lt;Author&gt;McVicar&lt;/Author&gt;&lt;Year&gt;2006&lt;/Year&gt;&lt;RecNum&gt;796&lt;/RecNum&gt;&lt;DisplayText&gt;(McVicar 2006)&lt;/DisplayText&gt;&lt;record&gt;&lt;rec-number&gt;796&lt;/rec-number&gt;&lt;foreign-keys&gt;&lt;key app="EN" db-id="0r2ffr5x6st05beff5rper2ax9sw5d9w0vzp" timestamp="0"&gt;796&lt;/key&gt;&lt;/foreign-keys&gt;&lt;ref-type name="Journal Article"&gt;17&lt;/ref-type&gt;&lt;contributors&gt;&lt;authors&gt;&lt;author&gt;Duncan McVicar&lt;/author&gt;&lt;/authors&gt;&lt;/contributors&gt;&lt;titles&gt;&lt;title&gt;Why do disability benefit rolls vary between regions? A review of the evidence from the USA and the UK &lt;/title&gt;&lt;secondary-title&gt;Regional Studies&lt;/secondary-title&gt;&lt;/titles&gt;&lt;periodical&gt;&lt;full-title&gt;Regional Studies&lt;/full-title&gt;&lt;/periodical&gt;&lt;pages&gt;519-533&lt;/pages&gt;&lt;volume&gt;40&lt;/volume&gt;&lt;number&gt;5&lt;/number&gt;&lt;keywords&gt;&lt;keyword&gt;labour demand - health&lt;/keyword&gt;&lt;keyword&gt;effects - incentives&lt;/keyword&gt;&lt;/keywords&gt;&lt;dates&gt;&lt;year&gt;2006&lt;/year&gt;&lt;/dates&gt;&lt;urls&gt;&lt;related-urls&gt;&lt;url&gt;&lt;style face="underline" font="default" size="100%"&gt;http://dx.doi.org/10.1080/00343400600757635&lt;/style&gt;&lt;/url&gt;&lt;/related-urls&gt;&lt;/urls&gt;&lt;custom1&gt;Read&lt;/custom1&gt;&lt;/record&gt;&lt;/Cite&gt;&lt;/EndNote&gt;</w:instrText>
      </w:r>
      <w:r w:rsidR="00390DAE">
        <w:fldChar w:fldCharType="separate"/>
      </w:r>
      <w:r w:rsidR="00390DAE">
        <w:rPr>
          <w:noProof/>
        </w:rPr>
        <w:t>(</w:t>
      </w:r>
      <w:hyperlink w:anchor="_ENREF_30" w:tooltip="McVicar, 2006 #796" w:history="1">
        <w:r w:rsidR="003242B5">
          <w:rPr>
            <w:noProof/>
          </w:rPr>
          <w:t>McVicar 2006</w:t>
        </w:r>
      </w:hyperlink>
      <w:r w:rsidR="00390DAE">
        <w:rPr>
          <w:noProof/>
        </w:rPr>
        <w:t>)</w:t>
      </w:r>
      <w:r w:rsidR="00390DAE">
        <w:fldChar w:fldCharType="end"/>
      </w:r>
      <w:r w:rsidR="003A03E5">
        <w:t xml:space="preserve"> – </w:t>
      </w:r>
      <w:r w:rsidR="007E4AD0">
        <w:t xml:space="preserve">sometimes </w:t>
      </w:r>
      <w:r w:rsidR="00EB2202">
        <w:t>with the implication that claimants are ‘malingering’</w:t>
      </w:r>
      <w:r w:rsidR="003A03E5">
        <w:t xml:space="preserve">.  But more influential has been </w:t>
      </w:r>
      <w:r w:rsidR="003A03E5" w:rsidRPr="003A03E5">
        <w:t>the biopsychosocial model</w:t>
      </w:r>
      <w:r w:rsidR="003A03E5">
        <w:t xml:space="preserve"> </w:t>
      </w:r>
      <w:r w:rsidR="00390DAE">
        <w:fldChar w:fldCharType="begin"/>
      </w:r>
      <w:r w:rsidR="00390DAE">
        <w:instrText xml:space="preserve"> ADDIN EN.CITE &lt;EndNote&gt;&lt;Cite&gt;&lt;Author&gt;Wade&lt;/Author&gt;&lt;Year&gt;2004&lt;/Year&gt;&lt;RecNum&gt;100&lt;/RecNum&gt;&lt;DisplayText&gt;(Wade and Halligan 2004)&lt;/DisplayText&gt;&lt;record&gt;&lt;rec-number&gt;100&lt;/rec-number&gt;&lt;foreign-keys&gt;&lt;key app="EN" db-id="0r2ffr5x6st05beff5rper2ax9sw5d9w0vzp" timestamp="0"&gt;100&lt;/key&gt;&lt;/foreign-keys&gt;&lt;ref-type name="Journal Article"&gt;17&lt;/ref-type&gt;&lt;contributors&gt;&lt;authors&gt;&lt;author&gt;Wade,Derick T&lt;/author&gt;&lt;author&gt;Halligan, Peter W&lt;/author&gt;&lt;/authors&gt;&lt;/contributors&gt;&lt;titles&gt;&lt;title&gt;Do biomedical models of illness make for good healthcare systems?&lt;/title&gt;&lt;secondary-title&gt;BMJ&lt;/secondary-title&gt;&lt;/titles&gt;&lt;periodical&gt;&lt;full-title&gt;BMJ&lt;/full-title&gt;&lt;/periodical&gt;&lt;pages&gt;1398-1401&lt;/pages&gt;&lt;volume&gt;329&lt;/volume&gt;&lt;number&gt;7479&lt;/number&gt;&lt;keywords&gt;&lt;keyword&gt;concepts - nature of ill-health&lt;/keyword&gt;&lt;/keywords&gt;&lt;dates&gt;&lt;year&gt;2004&lt;/year&gt;&lt;/dates&gt;&lt;urls&gt;&lt;related-urls&gt;&lt;url&gt;http://www.bmj.com/cgi/content/full/329/7479/1398&lt;/url&gt;&lt;/related-urls&gt;&lt;/urls&gt;&lt;custom1&gt;Read&lt;/custom1&gt;&lt;research-notes&gt;http://www.bmj.com/cgi/content/full/330/7488/419 [Wright]&amp;#xD;http://www.bmj.com/cgi/content/full/330/7488/419-a [Wilkinson]&lt;/research-notes&gt;&lt;/record&gt;&lt;/Cite&gt;&lt;/EndNote&gt;</w:instrText>
      </w:r>
      <w:r w:rsidR="00390DAE">
        <w:fldChar w:fldCharType="separate"/>
      </w:r>
      <w:r w:rsidR="00390DAE">
        <w:rPr>
          <w:noProof/>
        </w:rPr>
        <w:t>(</w:t>
      </w:r>
      <w:hyperlink w:anchor="_ENREF_41" w:tooltip="Wade, 2004 #100" w:history="1">
        <w:r w:rsidR="003242B5">
          <w:rPr>
            <w:noProof/>
          </w:rPr>
          <w:t>Wade and Halligan 2004</w:t>
        </w:r>
      </w:hyperlink>
      <w:r w:rsidR="00390DAE">
        <w:rPr>
          <w:noProof/>
        </w:rPr>
        <w:t>)</w:t>
      </w:r>
      <w:r w:rsidR="00390DAE">
        <w:fldChar w:fldCharType="end"/>
      </w:r>
      <w:r w:rsidR="003A03E5">
        <w:t xml:space="preserve">, </w:t>
      </w:r>
      <w:r w:rsidR="00DA0E3D">
        <w:t xml:space="preserve">according to which </w:t>
      </w:r>
      <w:r w:rsidR="003A03E5">
        <w:t>the policy failure has been allowing people to believe that they are incapable of work and to become ‘dependent’ on benefits.</w:t>
      </w:r>
    </w:p>
    <w:p w14:paraId="0F13A124" w14:textId="0FD306E5" w:rsidR="00A12002" w:rsidRDefault="005A7048" w:rsidP="00947E73">
      <w:pPr>
        <w:spacing w:line="480" w:lineRule="auto"/>
      </w:pPr>
      <w:r>
        <w:t xml:space="preserve">This view has been contested by those who focus on </w:t>
      </w:r>
      <w:r w:rsidR="007E57DE">
        <w:t>how weak labour demand constrains</w:t>
      </w:r>
      <w:r>
        <w:t xml:space="preserve"> choice</w:t>
      </w:r>
      <w:r w:rsidR="006270D5">
        <w:t xml:space="preserve">.  Beatty and Fothergill have influentially described incapacity claimants as the ‘hidden unemployed’ </w:t>
      </w:r>
      <w:r w:rsidR="00390DAE">
        <w:fldChar w:fldCharType="begin"/>
      </w:r>
      <w:r w:rsidR="00390DAE">
        <w:instrText xml:space="preserve"> ADDIN EN.CITE &lt;EndNote&gt;&lt;Cite&gt;&lt;Author&gt;Beatty&lt;/Author&gt;&lt;Year&gt;2000&lt;/Year&gt;&lt;RecNum&gt;263&lt;/RecNum&gt;&lt;DisplayText&gt;(Beatty et al. 2000)&lt;/DisplayText&gt;&lt;record&gt;&lt;rec-number&gt;263&lt;/rec-number&gt;&lt;foreign-keys&gt;&lt;key app="EN" db-id="0r2ffr5x6st05beff5rper2ax9sw5d9w0vzp" timestamp="0"&gt;263&lt;/key&gt;&lt;/foreign-keys&gt;&lt;ref-type name="Journal Article"&gt;17&lt;/ref-type&gt;&lt;contributors&gt;&lt;authors&gt;&lt;author&gt;Beatty, Christina&lt;/author&gt;&lt;author&gt;Fothergill, Stephen&lt;/author&gt;&lt;author&gt;Macmillan, Rob&lt;/author&gt;&lt;/authors&gt;&lt;/contributors&gt;&lt;titles&gt;&lt;title&gt;A Theory of Employment, Unemployment and Sickness&lt;/title&gt;&lt;secondary-title&gt;Regional Studies&lt;/secondary-title&gt;&lt;/titles&gt;&lt;periodical&gt;&lt;full-title&gt;Regional Studies&lt;/full-title&gt;&lt;/periodical&gt;&lt;pages&gt;617-630&lt;/pages&gt;&lt;volume&gt;34&lt;/volume&gt;&lt;number&gt;7&lt;/number&gt;&lt;keywords&gt;&lt;keyword&gt;labour demand - health&lt;/keyword&gt;&lt;/keywords&gt;&lt;dates&gt;&lt;year&gt;2000&lt;/year&gt;&lt;/dates&gt;&lt;urls&gt;&lt;/urls&gt;&lt;custom1&gt;Read&lt;/custom1&gt;&lt;research-notes&gt;http://www.informaworld.com/smpp/ftinterface~content=a713693718~fulltext=713240930 [PDF]&amp;#xD;http://www.informaworld.com/smpp/content?content=10.1080/00343400050178429&lt;/research-notes&gt;&lt;/record&gt;&lt;/Cite&gt;&lt;/EndNote&gt;</w:instrText>
      </w:r>
      <w:r w:rsidR="00390DAE">
        <w:fldChar w:fldCharType="separate"/>
      </w:r>
      <w:r w:rsidR="00390DAE">
        <w:rPr>
          <w:noProof/>
        </w:rPr>
        <w:t>(</w:t>
      </w:r>
      <w:hyperlink w:anchor="_ENREF_7" w:tooltip="Beatty, 2000 #263" w:history="1">
        <w:r w:rsidR="003242B5">
          <w:rPr>
            <w:noProof/>
          </w:rPr>
          <w:t>Beatty et al. 2000</w:t>
        </w:r>
      </w:hyperlink>
      <w:r w:rsidR="00390DAE">
        <w:rPr>
          <w:noProof/>
        </w:rPr>
        <w:t>)</w:t>
      </w:r>
      <w:r w:rsidR="00390DAE">
        <w:fldChar w:fldCharType="end"/>
      </w:r>
      <w:r w:rsidR="006270D5">
        <w:t xml:space="preserve">, amid extensive evidence that </w:t>
      </w:r>
      <w:r w:rsidR="00DA0E3D">
        <w:t xml:space="preserve">plant closures lead to rises in incapacity receipt, and that </w:t>
      </w:r>
      <w:r w:rsidR="006270D5">
        <w:t>incapacity claimants are primarily low-</w:t>
      </w:r>
      <w:r w:rsidR="00B1354B">
        <w:t xml:space="preserve">skilled </w:t>
      </w:r>
      <w:r w:rsidR="006270D5">
        <w:t xml:space="preserve"> people in areas with few jobs </w:t>
      </w:r>
      <w:r w:rsidR="00390DAE">
        <w:fldChar w:fldCharType="begin">
          <w:fldData xml:space="preserve">PEVuZE5vdGU+PENpdGU+PEF1dGhvcj5Ib3VzdG9uPC9BdXRob3I+PFllYXI+MjAxMDwvWWVhcj48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</w:fldData>
        </w:fldChar>
      </w:r>
      <w:r w:rsidR="00390DAE">
        <w:instrText xml:space="preserve"> ADDIN EN.CITE </w:instrText>
      </w:r>
      <w:r w:rsidR="00390DAE">
        <w:fldChar w:fldCharType="begin">
          <w:fldData xml:space="preserve">PEVuZE5vdGU+PENpdGU+PEF1dGhvcj5Ib3VzdG9uPC9BdXRob3I+PFllYXI+MjAxMDwvWWVhcj48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</w:fldData>
        </w:fldChar>
      </w:r>
      <w:r w:rsidR="00390DAE">
        <w:instrText xml:space="preserve"> ADDIN EN.CITE.DATA </w:instrText>
      </w:r>
      <w:r w:rsidR="00390DAE">
        <w:fldChar w:fldCharType="end"/>
      </w:r>
      <w:r w:rsidR="00390DAE">
        <w:fldChar w:fldCharType="separate"/>
      </w:r>
      <w:r w:rsidR="00390DAE">
        <w:rPr>
          <w:noProof/>
        </w:rPr>
        <w:t>(</w:t>
      </w:r>
      <w:hyperlink w:anchor="_ENREF_16" w:tooltip="Houston, 2010 #1207" w:history="1">
        <w:r w:rsidR="003242B5">
          <w:rPr>
            <w:noProof/>
          </w:rPr>
          <w:t>Houston and Lindsay 2010</w:t>
        </w:r>
      </w:hyperlink>
      <w:r w:rsidR="00390DAE">
        <w:rPr>
          <w:noProof/>
        </w:rPr>
        <w:t xml:space="preserve">, </w:t>
      </w:r>
      <w:hyperlink w:anchor="_ENREF_6" w:tooltip="Beatty, 2009 #726" w:history="1">
        <w:r w:rsidR="003242B5">
          <w:rPr>
            <w:noProof/>
          </w:rPr>
          <w:t>Beatty et al. 2009</w:t>
        </w:r>
      </w:hyperlink>
      <w:r w:rsidR="00390DAE">
        <w:rPr>
          <w:noProof/>
        </w:rPr>
        <w:t>)</w:t>
      </w:r>
      <w:r w:rsidR="00390DAE">
        <w:fldChar w:fldCharType="end"/>
      </w:r>
      <w:r w:rsidR="006270D5">
        <w:t>.  This is not to suggest that claimants are non-disabled</w:t>
      </w:r>
      <w:r w:rsidR="00E02240">
        <w:t xml:space="preserve">; </w:t>
      </w:r>
      <w:r w:rsidR="00995905">
        <w:t xml:space="preserve">Beatty &amp; Fothergill </w:t>
      </w:r>
      <w:r w:rsidR="00A12002">
        <w:t>recogni</w:t>
      </w:r>
      <w:r w:rsidR="00934AE0">
        <w:t>z</w:t>
      </w:r>
      <w:r w:rsidR="00A12002">
        <w:t xml:space="preserve">e that </w:t>
      </w:r>
      <w:r w:rsidR="00995905">
        <w:t xml:space="preserve">disability may be a factor in losing </w:t>
      </w:r>
      <w:r w:rsidR="007E4AD0">
        <w:t xml:space="preserve">work </w:t>
      </w:r>
      <w:r w:rsidR="00A12002">
        <w:t xml:space="preserve">and </w:t>
      </w:r>
      <w:r w:rsidR="007E4AD0">
        <w:t xml:space="preserve">being left </w:t>
      </w:r>
      <w:r w:rsidR="006270D5">
        <w:t xml:space="preserve">at the back of the </w:t>
      </w:r>
      <w:r w:rsidR="006270D5">
        <w:lastRenderedPageBreak/>
        <w:t xml:space="preserve">‘queue for jobs’ </w:t>
      </w:r>
      <w:r w:rsidR="00390DAE">
        <w:fldChar w:fldCharType="begin"/>
      </w:r>
      <w:r w:rsidR="00390DAE">
        <w:instrText xml:space="preserve"> ADDIN EN.CITE &lt;EndNote&gt;&lt;Cite&gt;&lt;Author&gt;Beatty&lt;/Author&gt;&lt;Year&gt;2009&lt;/Year&gt;&lt;RecNum&gt;726&lt;/RecNum&gt;&lt;DisplayText&gt;(Beatty et al. 2009)&lt;/DisplayText&gt;&lt;record&gt;&lt;rec-number&gt;726&lt;/rec-number&gt;&lt;foreign-keys&gt;&lt;key app="EN" db-id="0r2ffr5x6st05beff5rper2ax9sw5d9w0vzp" timestamp="0"&gt;726&lt;/key&gt;&lt;/foreign-keys&gt;&lt;ref-type name="Journal Article"&gt;17&lt;/ref-type&gt;&lt;contributors&gt;&lt;authors&gt;&lt;author&gt;Christina Beatty&lt;/author&gt;&lt;author&gt;Steve Fothergill&lt;/author&gt;&lt;author&gt;Donald Houston&lt;/author&gt;&lt;author&gt;Ryan Powell&lt;/author&gt;&lt;author&gt;Paul Sissons&lt;/author&gt;&lt;/authors&gt;&lt;/contributors&gt;&lt;titles&gt;&lt;title&gt;A Gendered Theory of Employment, Unemployment and Sickness&lt;/title&gt;&lt;secondary-title&gt;Environment and Planning C: Government and Policy&lt;/secondary-title&gt;&lt;/titles&gt;&lt;periodical&gt;&lt;full-title&gt;Environment and Planning C: Government and Policy&lt;/full-title&gt;&lt;/periodical&gt;&lt;number&gt;958-974&lt;/number&gt;&lt;keywords&gt;&lt;keyword&gt;labour demand - health&lt;/keyword&gt;&lt;keyword&gt;demographics - gender/care&lt;/keyword&gt;&lt;/keywords&gt;&lt;dates&gt;&lt;year&gt;2009&lt;/year&gt;&lt;/dates&gt;&lt;pub-location&gt;27&lt;/pub-location&gt;&lt;urls&gt;&lt;related-urls&gt;&lt;url&gt;http://www.envplan.com/epc/fulltext/c27/c0851.pdf&lt;/url&gt;&lt;/related-urls&gt;&lt;/urls&gt;&lt;custom1&gt;Read&lt;/custom1&gt;&lt;custom3&gt;UK&lt;/custom3&gt;&lt;research-notes&gt;- See also the other working papers put up on the same website &amp;#xD;- May also want to look at Anyadike-Danes (2007), on &amp;apos;How well are women doing?&amp;apos; in Applied Economis 39:1843&lt;/research-notes&gt;&lt;/record&gt;&lt;/Cite&gt;&lt;/EndNote&gt;</w:instrText>
      </w:r>
      <w:r w:rsidR="00390DAE">
        <w:fldChar w:fldCharType="separate"/>
      </w:r>
      <w:r w:rsidR="00390DAE">
        <w:rPr>
          <w:noProof/>
        </w:rPr>
        <w:t>(</w:t>
      </w:r>
      <w:hyperlink w:anchor="_ENREF_6" w:tooltip="Beatty, 2009 #726" w:history="1">
        <w:r w:rsidR="003242B5">
          <w:rPr>
            <w:noProof/>
          </w:rPr>
          <w:t>Beatty et al. 2009</w:t>
        </w:r>
      </w:hyperlink>
      <w:r w:rsidR="00390DAE">
        <w:rPr>
          <w:noProof/>
        </w:rPr>
        <w:t>)</w:t>
      </w:r>
      <w:r w:rsidR="00390DAE">
        <w:fldChar w:fldCharType="end"/>
      </w:r>
      <w:r w:rsidR="00A12002">
        <w:t>.  F</w:t>
      </w:r>
      <w:r w:rsidR="00E02240">
        <w:t>undamentally</w:t>
      </w:r>
      <w:r w:rsidR="00A12002">
        <w:t>, though,</w:t>
      </w:r>
      <w:r w:rsidR="00E02240">
        <w:t xml:space="preserve"> </w:t>
      </w:r>
      <w:r w:rsidR="00A12002">
        <w:t xml:space="preserve">disability </w:t>
      </w:r>
      <w:r w:rsidR="00995905">
        <w:t>is a criteria for sorting the unemployed, and the ‘hidden unemployed’ are not seen as incapacitated</w:t>
      </w:r>
      <w:r w:rsidR="006270D5">
        <w:t>.</w:t>
      </w:r>
      <w:r w:rsidR="00E02240">
        <w:t xml:space="preserve">  </w:t>
      </w:r>
    </w:p>
    <w:p w14:paraId="6241AEEF" w14:textId="46B3B336" w:rsidR="00692927" w:rsidRDefault="00692927" w:rsidP="00947E73">
      <w:pPr>
        <w:spacing w:line="480" w:lineRule="auto"/>
      </w:pPr>
      <w:r>
        <w:t xml:space="preserve">This account </w:t>
      </w:r>
      <w:r w:rsidR="00A12002">
        <w:t xml:space="preserve">is in many ways </w:t>
      </w:r>
      <w:r w:rsidR="00503F96">
        <w:t xml:space="preserve">compelling </w:t>
      </w:r>
      <w:r w:rsidR="00390DAE">
        <w:fldChar w:fldCharType="begin"/>
      </w:r>
      <w:r w:rsidR="00390DAE">
        <w:instrText xml:space="preserve"> ADDIN EN.CITE &lt;EndNote&gt;&lt;Cite&gt;&lt;Author&gt;Houston&lt;/Author&gt;&lt;Year&gt;2010&lt;/Year&gt;&lt;RecNum&gt;1207&lt;/RecNum&gt;&lt;DisplayText&gt;(Houston and Lindsay 2010)&lt;/DisplayText&gt;&lt;record&gt;&lt;rec-number&gt;1207&lt;/rec-number&gt;&lt;foreign-keys&gt;&lt;key app="EN" db-id="0r2ffr5x6st05beff5rper2ax9sw5d9w0vzp" timestamp="0"&gt;1207&lt;/key&gt;&lt;/foreign-keys&gt;&lt;ref-type name="Journal Article"&gt;17&lt;/ref-type&gt;&lt;contributors&gt;&lt;authors&gt;&lt;author&gt;Houston, Donald &lt;/author&gt;&lt;author&gt;Lindsay, Colin&lt;/author&gt;&lt;/authors&gt;&lt;/contributors&gt;&lt;titles&gt;&lt;title&gt;Fit for work? Health, employability and challenges for the UK welfare reform agenda&lt;/title&gt;&lt;secondary-title&gt;Policy Studies&lt;/secondary-title&gt;&lt;/titles&gt;&lt;periodical&gt;&lt;full-title&gt;Policy Studies&lt;/full-title&gt;&lt;/periodical&gt;&lt;pages&gt;133-142&lt;/pages&gt;&lt;volume&gt;31&lt;/volume&gt;&lt;number&gt;2&lt;/number&gt;&lt;keywords&gt;&lt;keyword&gt;labour demand - general&lt;/keyword&gt;&lt;keyword&gt;labour demand - health&lt;/keyword&gt;&lt;/keywords&gt;&lt;dates&gt;&lt;year&gt;2010&lt;/year&gt;&lt;/dates&gt;&lt;urls&gt;&lt;related-urls&gt;&lt;url&gt;http://dx.doi.org/10.1080/01442870903429595&lt;/url&gt;&lt;/related-urls&gt;&lt;/urls&gt;&lt;custom1&gt;Read&lt;/custom1&gt;&lt;custom3&gt;UK&lt;/custom3&gt;&lt;research-notes&gt;The intro to the Policy Studies special issue, summing up across all the papers&lt;/research-notes&gt;&lt;/record&gt;&lt;/Cite&gt;&lt;/EndNote&gt;</w:instrText>
      </w:r>
      <w:r w:rsidR="00390DAE">
        <w:fldChar w:fldCharType="separate"/>
      </w:r>
      <w:r w:rsidR="00390DAE">
        <w:rPr>
          <w:noProof/>
        </w:rPr>
        <w:t>(</w:t>
      </w:r>
      <w:hyperlink w:anchor="_ENREF_16" w:tooltip="Houston, 2010 #1207" w:history="1">
        <w:r w:rsidR="003242B5">
          <w:rPr>
            <w:noProof/>
          </w:rPr>
          <w:t>Houston and Lindsay 2010</w:t>
        </w:r>
      </w:hyperlink>
      <w:r w:rsidR="00390DAE">
        <w:rPr>
          <w:noProof/>
        </w:rPr>
        <w:t>)</w:t>
      </w:r>
      <w:r w:rsidR="00390DAE">
        <w:fldChar w:fldCharType="end"/>
      </w:r>
      <w:r w:rsidR="00503F96">
        <w:t xml:space="preserve">, yet it does not consider whether inequalities in </w:t>
      </w:r>
      <w:r>
        <w:t xml:space="preserve">benefit receipt may </w:t>
      </w:r>
      <w:r w:rsidR="00B1354B">
        <w:t xml:space="preserve">partly </w:t>
      </w:r>
      <w:r>
        <w:t xml:space="preserve">be due to </w:t>
      </w:r>
      <w:r>
        <w:rPr>
          <w:i/>
        </w:rPr>
        <w:t xml:space="preserve">genuine </w:t>
      </w:r>
      <w:r>
        <w:t>incapacity</w:t>
      </w:r>
      <w:r w:rsidR="00183A74">
        <w:t xml:space="preserve">; </w:t>
      </w:r>
      <w:r w:rsidR="00183A74">
        <w:t>indeed, it is striking that neither the biopsychosocial or hidden unemployment models consider incapacity in any depth</w:t>
      </w:r>
      <w:r w:rsidR="00A12002">
        <w:t xml:space="preserve">.  </w:t>
      </w:r>
      <w:r w:rsidR="00623EC9">
        <w:t xml:space="preserve">Beatty &amp; Fothergill </w:t>
      </w:r>
      <w:r w:rsidR="00623EC9">
        <w:fldChar w:fldCharType="begin"/>
      </w:r>
      <w:r w:rsidR="00623EC9">
        <w:instrText xml:space="preserve"> ADDIN EN.CITE &lt;EndNote&gt;&lt;Cite ExcludeAuth="1"&gt;&lt;Author&gt;Beatty&lt;/Author&gt;&lt;Year&gt;2005&lt;/Year&gt;&lt;RecNum&gt;259&lt;/RecNum&gt;&lt;DisplayText&gt;(2005)&lt;/DisplayText&gt;&lt;record&gt;&lt;rec-number&gt;259&lt;/rec-number&gt;&lt;foreign-keys&gt;&lt;key app="EN" db-id="0r2ffr5x6st05beff5rper2ax9sw5d9w0vzp" timestamp="0"&gt;259&lt;/key&gt;&lt;/foreign-keys&gt;&lt;ref-type name="Journal Article"&gt;17&lt;/ref-type&gt;&lt;contributors&gt;&lt;authors&gt;&lt;author&gt;Beatty, Christina&lt;/author&gt;&lt;author&gt;Fothergill, Stephen&lt;/author&gt;&lt;/authors&gt;&lt;/contributors&gt;&lt;titles&gt;&lt;title&gt;The diversion from &amp;apos;unemployment&amp;apos; to &amp;apos;sickness&amp;apos; across British regions and districts&lt;/title&gt;&lt;secondary-title&gt;Regional Studies&lt;/secondary-title&gt;&lt;/titles&gt;&lt;periodical&gt;&lt;full-title&gt;Regional Studies&lt;/full-title&gt;&lt;/periodical&gt;&lt;pages&gt;837-854&lt;/pages&gt;&lt;volume&gt;39&lt;/volume&gt;&lt;number&gt;7&lt;/number&gt;&lt;keywords&gt;&lt;keyword&gt;labour demand - health&lt;/keyword&gt;&lt;/keywords&gt;&lt;dates&gt;&lt;year&gt;2005&lt;/year&gt;&lt;/dates&gt;&lt;urls&gt;&lt;related-urls&gt;&lt;url&gt;http://www.informaworld.com/smpp/ftinterface~content=a747359804~fulltext=713240930 [PDF]&lt;/url&gt;&lt;url&gt;http://www.informaworld.com/smpp/content?content=10.1080/00343400500289804&lt;/url&gt;&lt;/related-urls&gt;&lt;/urls&gt;&lt;custom1&gt;Read&lt;/custom1&gt;&lt;custom3&gt;UK&lt;/custom3&gt;&lt;research-notes&gt;Note that the hidden unemployment figures deduct &amp;lt;6mth incapacity benefit receipt from the total, to enable a better comparison with &amp;apos;permanent sickness&amp;apos; under the Census definition (see note 2).&lt;/research-notes&gt;&lt;/record&gt;&lt;/Cite&gt;&lt;/EndNote&gt;</w:instrText>
      </w:r>
      <w:r w:rsidR="00623EC9">
        <w:fldChar w:fldCharType="separate"/>
      </w:r>
      <w:r w:rsidR="00623EC9">
        <w:rPr>
          <w:noProof/>
        </w:rPr>
        <w:t>(</w:t>
      </w:r>
      <w:hyperlink w:anchor="_ENREF_5" w:tooltip="Beatty, 2005 #259" w:history="1">
        <w:r w:rsidR="00623EC9">
          <w:rPr>
            <w:noProof/>
          </w:rPr>
          <w:t>2005</w:t>
        </w:r>
      </w:hyperlink>
      <w:r w:rsidR="00623EC9">
        <w:rPr>
          <w:noProof/>
        </w:rPr>
        <w:t>)</w:t>
      </w:r>
      <w:r w:rsidR="00623EC9">
        <w:fldChar w:fldCharType="end"/>
      </w:r>
      <w:r w:rsidR="00623EC9">
        <w:t xml:space="preserve"> ignore </w:t>
      </w:r>
      <w:r w:rsidR="00A12002">
        <w:t>health</w:t>
      </w:r>
      <w:r w:rsidR="00B1354B">
        <w:t xml:space="preserve"> inequalities</w:t>
      </w:r>
      <w:r w:rsidR="00A12002">
        <w:t>, despite evidence that mortality explain</w:t>
      </w:r>
      <w:r w:rsidR="007E4AD0">
        <w:t>s</w:t>
      </w:r>
      <w:r w:rsidR="00A12002">
        <w:t xml:space="preserve"> at least as much of the </w:t>
      </w:r>
      <w:r w:rsidR="007E4AD0">
        <w:t xml:space="preserve">spatial </w:t>
      </w:r>
      <w:r w:rsidR="00A12002">
        <w:t xml:space="preserve">variation in incapacity claims as labour demand </w:t>
      </w:r>
      <w:r w:rsidR="00390DAE">
        <w:fldChar w:fldCharType="begin"/>
      </w:r>
      <w:r w:rsidR="00390DAE">
        <w:instrText xml:space="preserve"> ADDIN EN.CITE &lt;EndNote&gt;&lt;Cite&gt;&lt;Author&gt;McVicar&lt;/Author&gt;&lt;Year&gt;2009&lt;/Year&gt;&lt;RecNum&gt;1568&lt;/RecNum&gt;&lt;DisplayText&gt;(McVicar 2009)&lt;/DisplayText&gt;&lt;record&gt;&lt;rec-number&gt;1568&lt;/rec-number&gt;&lt;foreign-keys&gt;&lt;key app="EN" db-id="0r2ffr5x6st05beff5rper2ax9sw5d9w0vzp" timestamp="0"&gt;1568&lt;/key&gt;&lt;/foreign-keys&gt;&lt;ref-type name="Web Page"&gt;12&lt;/ref-type&gt;&lt;contributors&gt;&lt;authors&gt;&lt;author&gt;McVicar, Duncan&lt;/author&gt;&lt;/authors&gt;&lt;/contributors&gt;&lt;titles&gt;&lt;title&gt;Local level incapacity benefits rolls in Britain: correlates and convergence&lt;/title&gt;&lt;/titles&gt;&lt;dates&gt;&lt;year&gt;2009&lt;/year&gt;&lt;/dates&gt;&lt;pub-location&gt;Belfast&lt;/pub-location&gt;&lt;publisher&gt;Queen&amp;apos;s University School of Management, Queen&amp;apos;s University Belfast&lt;/publisher&gt;&lt;urls&gt;&lt;related-urls&gt;&lt;url&gt;http://www.qub-efrg.com/faculty-directory/35/duncan-mcvicar/&lt;/url&gt;&lt;/related-urls&gt;&lt;/urls&gt;&lt;custom1&gt;Read&lt;/custom1&gt;&lt;/record&gt;&lt;/Cite&gt;&lt;/EndNote&gt;</w:instrText>
      </w:r>
      <w:r w:rsidR="00390DAE">
        <w:fldChar w:fldCharType="separate"/>
      </w:r>
      <w:r w:rsidR="00390DAE">
        <w:rPr>
          <w:noProof/>
        </w:rPr>
        <w:t>(</w:t>
      </w:r>
      <w:hyperlink w:anchor="_ENREF_31" w:tooltip="McVicar, 2009 #1568" w:history="1">
        <w:r w:rsidR="003242B5">
          <w:rPr>
            <w:noProof/>
          </w:rPr>
          <w:t>McVicar 2009</w:t>
        </w:r>
      </w:hyperlink>
      <w:r w:rsidR="00390DAE">
        <w:rPr>
          <w:noProof/>
        </w:rPr>
        <w:t>)</w:t>
      </w:r>
      <w:r w:rsidR="00390DAE">
        <w:fldChar w:fldCharType="end"/>
      </w:r>
      <w:r w:rsidR="00A12002">
        <w:t xml:space="preserve">.  </w:t>
      </w:r>
      <w:r w:rsidR="00183A74">
        <w:t xml:space="preserve">Moreover, </w:t>
      </w:r>
      <w:r w:rsidR="005C3DF5">
        <w:t xml:space="preserve">‘incapacity’ means that work risks the health of the worker; or risks the health of others; or – crucially – that the person is unable to work to the expected level </w:t>
      </w:r>
      <w:r w:rsidR="005C3DF5">
        <w:fldChar w:fldCharType="begin"/>
      </w:r>
      <w:r w:rsidR="005C3DF5">
        <w:instrText xml:space="preserve"> ADDIN EN.CITE &lt;EndNote&gt;&lt;Cite&gt;&lt;Author&gt;Palmer&lt;/Author&gt;&lt;Year&gt;2007&lt;/Year&gt;&lt;RecNum&gt;339&lt;/RecNum&gt;&lt;DisplayText&gt;(Palmer and Cox 2007)&lt;/DisplayText&gt;&lt;record&gt;&lt;rec-number&gt;339&lt;/rec-number&gt;&lt;foreign-keys&gt;&lt;key app="EN" db-id="0r2ffr5x6st05beff5rper2ax9sw5d9w0vzp" timestamp="0"&gt;339&lt;/key&gt;&lt;/foreign-keys&gt;&lt;ref-type name="Book Section"&gt;5&lt;/ref-type&gt;&lt;contributors&gt;&lt;authors&gt;&lt;author&gt;Palmer,KT&lt;/author&gt;&lt;author&gt;Cox, RAF&lt;/author&gt;&lt;/authors&gt;&lt;secondary-authors&gt;&lt;author&gt;Palmer,KT&lt;/author&gt;&lt;author&gt;Cox,RAF&lt;/author&gt;&lt;author&gt;Brown,I&lt;/author&gt;&lt;/secondary-authors&gt;&lt;/contributors&gt;&lt;titles&gt;&lt;title&gt;A general framework for assessing fitness for work&lt;/title&gt;&lt;secondary-title&gt;Fitness for work: the medical aspects, 4th edition&lt;/secondary-title&gt;&lt;/titles&gt;&lt;pages&gt;1-20&lt;/pages&gt;&lt;section&gt;1&lt;/section&gt;&lt;keywords&gt;&lt;keyword&gt;medical assessment&lt;/keyword&gt;&lt;/keywords&gt;&lt;dates&gt;&lt;year&gt;2007&lt;/year&gt;&lt;/dates&gt;&lt;pub-location&gt;Oxford&lt;/pub-location&gt;&lt;publisher&gt;Oxford UP&lt;/publisher&gt;&lt;call-num&gt;Not in LSE library, available from UCL - get through ILL, but heavily in demand...&lt;/call-num&gt;&lt;urls&gt;&lt;related-urls&gt;&lt;url&gt;&lt;style face="underline" font="default" size="100%"&gt;http://oem.bmj.com/cgi/content/extract/64/11/786&lt;/style&gt;&lt;/url&gt;&lt;/related-urls&gt;&lt;/urls&gt;&lt;custom1&gt;Read&lt;/custom1&gt;&lt;/record&gt;&lt;/Cite&gt;&lt;/EndNote&gt;</w:instrText>
      </w:r>
      <w:r w:rsidR="005C3DF5">
        <w:fldChar w:fldCharType="separate"/>
      </w:r>
      <w:r w:rsidR="005C3DF5">
        <w:rPr>
          <w:noProof/>
        </w:rPr>
        <w:t>(</w:t>
      </w:r>
      <w:hyperlink w:anchor="_ENREF_35" w:tooltip="Palmer, 2007 #339" w:history="1">
        <w:r w:rsidR="005C3DF5">
          <w:rPr>
            <w:noProof/>
          </w:rPr>
          <w:t>Palmer and Cox 2007</w:t>
        </w:r>
      </w:hyperlink>
      <w:r w:rsidR="005C3DF5">
        <w:rPr>
          <w:noProof/>
        </w:rPr>
        <w:t>)</w:t>
      </w:r>
      <w:r w:rsidR="005C3DF5">
        <w:fldChar w:fldCharType="end"/>
      </w:r>
      <w:r w:rsidR="005C3DF5">
        <w:t>.  It is therefore possible that incapacity</w:t>
      </w:r>
      <w:r w:rsidR="00623EC9">
        <w:t xml:space="preserve"> – </w:t>
      </w:r>
      <w:r w:rsidR="004B61B8">
        <w:t xml:space="preserve">beyond </w:t>
      </w:r>
      <w:r w:rsidR="007E4AD0">
        <w:t xml:space="preserve">ill-health </w:t>
      </w:r>
      <w:r w:rsidR="004B61B8">
        <w:rPr>
          <w:i/>
        </w:rPr>
        <w:t>per se</w:t>
      </w:r>
      <w:r w:rsidR="00623EC9">
        <w:rPr>
          <w:i/>
        </w:rPr>
        <w:t xml:space="preserve"> – </w:t>
      </w:r>
      <w:r w:rsidR="005C3DF5">
        <w:t xml:space="preserve">is </w:t>
      </w:r>
      <w:r w:rsidR="007E4AD0">
        <w:t xml:space="preserve">more common among </w:t>
      </w:r>
      <w:r w:rsidR="00A12002">
        <w:t>disadvantaged people in disadvantaged places</w:t>
      </w:r>
      <w:r w:rsidR="00E02240">
        <w:t>.</w:t>
      </w:r>
      <w:r>
        <w:t xml:space="preserve">  </w:t>
      </w:r>
    </w:p>
    <w:p w14:paraId="106305EB" w14:textId="76D34E92" w:rsidR="006270D5" w:rsidRDefault="000A1529" w:rsidP="00947E73">
      <w:pPr>
        <w:spacing w:line="480" w:lineRule="auto"/>
      </w:pPr>
      <w:r>
        <w:t>T</w:t>
      </w:r>
      <w:r w:rsidR="00692927">
        <w:t xml:space="preserve">his </w:t>
      </w:r>
      <w:r>
        <w:t>paper</w:t>
      </w:r>
      <w:r w:rsidR="00692927">
        <w:t xml:space="preserve"> therefore </w:t>
      </w:r>
      <w:r w:rsidR="007E4AD0">
        <w:t xml:space="preserve">presents the results of </w:t>
      </w:r>
      <w:r w:rsidR="00692927">
        <w:t xml:space="preserve">a qualitative </w:t>
      </w:r>
      <w:r w:rsidR="007E4AD0">
        <w:t xml:space="preserve">study that </w:t>
      </w:r>
      <w:r w:rsidR="00692927">
        <w:t>investigate</w:t>
      </w:r>
      <w:r w:rsidR="007E4AD0">
        <w:t>d</w:t>
      </w:r>
      <w:r w:rsidR="00692927">
        <w:t xml:space="preserve"> </w:t>
      </w:r>
      <w:r w:rsidR="00995905">
        <w:t xml:space="preserve">the </w:t>
      </w:r>
      <w:r w:rsidR="00692927">
        <w:t xml:space="preserve">differential ability </w:t>
      </w:r>
      <w:r w:rsidR="00995905">
        <w:t xml:space="preserve">of people with different educational levels </w:t>
      </w:r>
      <w:r w:rsidR="00692927">
        <w:t xml:space="preserve">to </w:t>
      </w:r>
      <w:r w:rsidR="007E4AD0">
        <w:t xml:space="preserve">avoid incapacity </w:t>
      </w:r>
      <w:r w:rsidR="00692927">
        <w:t xml:space="preserve">in the face of an impairment.  The paper starts by reviewing evidence on </w:t>
      </w:r>
      <w:r w:rsidR="00DA0E3D">
        <w:t xml:space="preserve">work and </w:t>
      </w:r>
      <w:r w:rsidR="00692927">
        <w:t xml:space="preserve">incapacity, before </w:t>
      </w:r>
      <w:r w:rsidR="00623EC9">
        <w:t xml:space="preserve">presenting </w:t>
      </w:r>
      <w:r w:rsidR="00692927">
        <w:t xml:space="preserve">the methods and results, and concluding with the implications for research and </w:t>
      </w:r>
      <w:r w:rsidR="00DA0E3D">
        <w:t>policy</w:t>
      </w:r>
      <w:r w:rsidR="00692927">
        <w:t>.</w:t>
      </w:r>
    </w:p>
    <w:p w14:paraId="58704760" w14:textId="77777777" w:rsidR="00947E73" w:rsidRDefault="00947E73" w:rsidP="00947E73">
      <w:pPr>
        <w:spacing w:line="480" w:lineRule="auto"/>
      </w:pPr>
    </w:p>
    <w:p w14:paraId="5BE435AF" w14:textId="64590B1B" w:rsidR="0026360B" w:rsidRDefault="00503F96" w:rsidP="00947E73">
      <w:pPr>
        <w:pStyle w:val="Heading3"/>
        <w:spacing w:line="480" w:lineRule="auto"/>
      </w:pPr>
      <w:r>
        <w:t>Literature review</w:t>
      </w:r>
    </w:p>
    <w:p w14:paraId="705ADA6A" w14:textId="23C2AA65" w:rsidR="000A1529" w:rsidRDefault="000A1529" w:rsidP="00947E73">
      <w:pPr>
        <w:spacing w:line="480" w:lineRule="auto"/>
      </w:pPr>
      <w:r>
        <w:t xml:space="preserve">To understand the limits of the hidden unemployment approach, we need to use the </w:t>
      </w:r>
      <w:r w:rsidRPr="0021597F">
        <w:t xml:space="preserve">social model of disability, where ‘disability’ is not an </w:t>
      </w:r>
      <w:r>
        <w:t xml:space="preserve">inherent property of an individual but the result of individual functional impairments </w:t>
      </w:r>
      <w:r w:rsidRPr="005C70CE">
        <w:t>combined</w:t>
      </w:r>
      <w:r>
        <w:t xml:space="preserve"> with a disabling social environment </w:t>
      </w:r>
      <w:r w:rsidR="00390DAE">
        <w:fldChar w:fldCharType="begin"/>
      </w:r>
      <w:r w:rsidR="00390DAE">
        <w:instrText xml:space="preserve"> ADDIN EN.CITE &lt;EndNote&gt;&lt;Cite&gt;&lt;Author&gt;Barnes&lt;/Author&gt;&lt;Year&gt;2000&lt;/Year&gt;&lt;RecNum&gt;1658&lt;/RecNum&gt;&lt;DisplayText&gt;(Barnes 2000)&lt;/DisplayText&gt;&lt;record&gt;&lt;rec-number&gt;1658&lt;/rec-number&gt;&lt;foreign-keys&gt;&lt;key app="EN" db-id="0r2ffr5x6st05beff5rper2ax9sw5d9w0vzp" timestamp="0"&gt;1658&lt;/key&gt;&lt;/foreign-keys&gt;&lt;ref-type name="Journal Article"&gt;17&lt;/ref-type&gt;&lt;contributors&gt;&lt;authors&gt;&lt;author&gt;Barnes, Colin&lt;/author&gt;&lt;/authors&gt;&lt;/contributors&gt;&lt;titles&gt;&lt;title&gt;A working social model? Disability, work and disability politics in the 21st century&lt;/title&gt;&lt;secondary-title&gt;Critical Social Policy&lt;/secondary-title&gt;&lt;/titles&gt;&lt;periodical&gt;&lt;full-title&gt;Critical Social Policy&lt;/full-title&gt;&lt;/periodical&gt;&lt;pages&gt;441-457&lt;/pages&gt;&lt;volume&gt;20&lt;/volume&gt;&lt;number&gt;4&lt;/number&gt;&lt;dates&gt;&lt;year&gt;2000&lt;/year&gt;&lt;/dates&gt;&lt;urls&gt;&lt;/urls&gt;&lt;electronic-resource-num&gt;10.1177/026101830002000402&lt;/electronic-resource-num&gt;&lt;/record&gt;&lt;/Cite&gt;&lt;/EndNote&gt;</w:instrText>
      </w:r>
      <w:r w:rsidR="00390DAE">
        <w:fldChar w:fldCharType="separate"/>
      </w:r>
      <w:r w:rsidR="00390DAE">
        <w:rPr>
          <w:noProof/>
        </w:rPr>
        <w:t>(</w:t>
      </w:r>
      <w:hyperlink w:anchor="_ENREF_2" w:tooltip="Barnes, 2000 #1658" w:history="1">
        <w:r w:rsidR="003242B5">
          <w:rPr>
            <w:noProof/>
          </w:rPr>
          <w:t>Barnes 2000</w:t>
        </w:r>
      </w:hyperlink>
      <w:r w:rsidR="00390DAE">
        <w:rPr>
          <w:noProof/>
        </w:rPr>
        <w:t>)</w:t>
      </w:r>
      <w:r w:rsidR="00390DAE">
        <w:fldChar w:fldCharType="end"/>
      </w:r>
      <w:r>
        <w:t>.</w:t>
      </w:r>
      <w:r w:rsidR="00390DAE" w:rsidRPr="00390DAE">
        <w:rPr>
          <w:vertAlign w:val="superscript"/>
        </w:rPr>
        <w:t>2</w:t>
      </w:r>
      <w:r>
        <w:t xml:space="preserve">  </w:t>
      </w:r>
      <w:r w:rsidR="003959BD">
        <w:t>I</w:t>
      </w:r>
      <w:r>
        <w:t xml:space="preserve">ncapacity </w:t>
      </w:r>
      <w:r w:rsidR="00D1225A">
        <w:t xml:space="preserve">(work disability) therefore </w:t>
      </w:r>
      <w:r w:rsidR="007E0705">
        <w:t xml:space="preserve">cannot be </w:t>
      </w:r>
      <w:r>
        <w:t>a binary, medical determination</w:t>
      </w:r>
      <w:r w:rsidR="007E0705">
        <w:t>;</w:t>
      </w:r>
      <w:r>
        <w:t xml:space="preserve"> as </w:t>
      </w:r>
      <w:r w:rsidR="00503F96">
        <w:t xml:space="preserve">the London School of Economics founder and social activist Sidney Webb </w:t>
      </w:r>
      <w:r>
        <w:t xml:space="preserve">put it </w:t>
      </w:r>
      <w:r w:rsidR="00503F96">
        <w:t>in 1914</w:t>
      </w:r>
      <w:r>
        <w:t xml:space="preserve">, </w:t>
      </w:r>
      <w:r w:rsidR="00D1225A" w:rsidRPr="00E02240">
        <w:rPr>
          <w:i/>
        </w:rPr>
        <w:t>‘incapable of any work whatsoever</w:t>
      </w:r>
      <w:r w:rsidR="00D1225A">
        <w:rPr>
          <w:i/>
        </w:rPr>
        <w:t>’</w:t>
      </w:r>
      <w:r w:rsidR="00D1225A" w:rsidRPr="00E02240">
        <w:rPr>
          <w:i/>
        </w:rPr>
        <w:t xml:space="preserve"> </w:t>
      </w:r>
      <w:r>
        <w:t xml:space="preserve">can only </w:t>
      </w:r>
      <w:r w:rsidR="00D1225A">
        <w:t xml:space="preserve">mean </w:t>
      </w:r>
      <w:r>
        <w:t>‘</w:t>
      </w:r>
      <w:r w:rsidR="00503F96" w:rsidRPr="00E02240">
        <w:rPr>
          <w:i/>
        </w:rPr>
        <w:t>literally unconscious or asleep’</w:t>
      </w:r>
      <w:r w:rsidR="00503F96">
        <w:t xml:space="preserve"> </w:t>
      </w:r>
      <w:r w:rsidR="00390DAE">
        <w:fldChar w:fldCharType="begin"/>
      </w:r>
      <w:r w:rsidR="00390DAE">
        <w:instrText xml:space="preserve"> ADDIN EN.CITE &lt;EndNote&gt;&lt;Cite&gt;&lt;Author&gt;Gulland&lt;/Author&gt;&lt;Year&gt;2011&lt;/Year&gt;&lt;RecNum&gt;1646&lt;/RecNum&gt;&lt;Prefix&gt;cited by &lt;/Prefix&gt;&lt;Suffix&gt;:7&lt;/Suffix&gt;&lt;DisplayText&gt;(cited by Gulland 2011:7)&lt;/DisplayText&gt;&lt;record&gt;&lt;rec-number&gt;1646&lt;/rec-number&gt;&lt;foreign-keys&gt;&lt;key app="EN" db-id="0r2ffr5x6st05beff5rper2ax9sw5d9w0vzp" timestamp="0"&gt;1646&lt;/key&gt;&lt;/foreign-keys&gt;&lt;ref-type name="Conference Paper"&gt;47&lt;/ref-type&gt;&lt;contributors&gt;&lt;authors&gt;&lt;author&gt;Gulland,Jackie&lt;/author&gt;&lt;/authors&gt;&lt;/contributors&gt;&lt;titles&gt;&lt;title&gt;‘Excessive sickness claims’: controlling sickness and incapacity benefits in the early 20th century&lt;/title&gt;&lt;/titles&gt;&lt;dates&gt;&lt;year&gt;2011&lt;/year&gt;&lt;/dates&gt;&lt;pub-location&gt;Paper presented to the Social Policy Association annual conference, Lincoln 2011&lt;/pub-location&gt;&lt;urls&gt;&lt;related-urls&gt;&lt;url&gt;http://www.social-policy.org.uk/lincoln2011/Gulland%20P6.pdf&lt;/url&gt;&lt;/related-urls&gt;&lt;/urls&gt;&lt;/record&gt;&lt;/Cite&gt;&lt;/EndNote&gt;</w:instrText>
      </w:r>
      <w:r w:rsidR="00390DAE">
        <w:fldChar w:fldCharType="separate"/>
      </w:r>
      <w:r w:rsidR="00390DAE">
        <w:rPr>
          <w:noProof/>
        </w:rPr>
        <w:t>(</w:t>
      </w:r>
      <w:hyperlink w:anchor="_ENREF_12" w:tooltip="Gulland, 2011 #1646" w:history="1">
        <w:r w:rsidR="003242B5">
          <w:rPr>
            <w:noProof/>
          </w:rPr>
          <w:t>cited by Gulland 2011:7</w:t>
        </w:r>
      </w:hyperlink>
      <w:r w:rsidR="00390DAE">
        <w:rPr>
          <w:noProof/>
        </w:rPr>
        <w:t>)</w:t>
      </w:r>
      <w:r w:rsidR="00390DAE">
        <w:fldChar w:fldCharType="end"/>
      </w:r>
      <w:r w:rsidR="00503F96">
        <w:t xml:space="preserve">.  </w:t>
      </w:r>
      <w:r w:rsidR="00DA0E3D">
        <w:t>I</w:t>
      </w:r>
      <w:r w:rsidR="003959BD">
        <w:t xml:space="preserve">ncapacity </w:t>
      </w:r>
      <w:r w:rsidR="00DA0E3D">
        <w:lastRenderedPageBreak/>
        <w:t xml:space="preserve">therefore </w:t>
      </w:r>
      <w:r w:rsidR="003959BD">
        <w:t>fundamentally depends upon the nature of work</w:t>
      </w:r>
      <w:r w:rsidR="004B61B8">
        <w:t xml:space="preserve"> – and while it also depends upon people’s beliefs and local labour demand, these three factors tend to be separated into three </w:t>
      </w:r>
      <w:r w:rsidR="00623EC9">
        <w:t xml:space="preserve">distinct </w:t>
      </w:r>
      <w:r w:rsidR="004B61B8">
        <w:t>literatures</w:t>
      </w:r>
      <w:r w:rsidR="003959BD">
        <w:t>.</w:t>
      </w:r>
    </w:p>
    <w:p w14:paraId="4918E40A" w14:textId="2A48A3EC" w:rsidR="005A7048" w:rsidRDefault="004B61B8" w:rsidP="00947E73">
      <w:pPr>
        <w:spacing w:line="480" w:lineRule="auto"/>
      </w:pPr>
      <w:r>
        <w:t>Still, t</w:t>
      </w:r>
      <w:r w:rsidR="000A1529">
        <w:t xml:space="preserve">here is an extensive quantitative literature </w:t>
      </w:r>
      <w:r w:rsidR="00D1225A">
        <w:t xml:space="preserve">that links </w:t>
      </w:r>
      <w:r w:rsidR="000A1529">
        <w:t xml:space="preserve">working conditions </w:t>
      </w:r>
      <w:r w:rsidR="00D1225A">
        <w:t xml:space="preserve">to </w:t>
      </w:r>
      <w:r w:rsidR="000A1529">
        <w:t>incapacity.</w:t>
      </w:r>
      <w:r w:rsidR="00E64621">
        <w:t xml:space="preserve">  </w:t>
      </w:r>
      <w:r w:rsidR="009A5873">
        <w:t xml:space="preserve">One of the most influential models is Ilmarinen’s ‘work ability house’ </w:t>
      </w:r>
      <w:r w:rsidR="00390DAE">
        <w:fldChar w:fldCharType="begin"/>
      </w:r>
      <w:r w:rsidR="00390DAE">
        <w:instrText xml:space="preserve"> ADDIN EN.CITE &lt;EndNote&gt;&lt;Cite&gt;&lt;Author&gt;Maltby&lt;/Author&gt;&lt;Year&gt;2011&lt;/Year&gt;&lt;RecNum&gt;1627&lt;/RecNum&gt;&lt;DisplayText&gt;(Maltby 2011)&lt;/DisplayText&gt;&lt;record&gt;&lt;rec-number&gt;1627&lt;/rec-number&gt;&lt;foreign-keys&gt;&lt;key app="EN" db-id="0r2ffr5x6st05beff5rper2ax9sw5d9w0vzp" timestamp="0"&gt;1627&lt;/key&gt;&lt;/foreign-keys&gt;&lt;ref-type name="Journal Article"&gt;17&lt;/ref-type&gt;&lt;contributors&gt;&lt;authors&gt;&lt;author&gt;Tony Maltby&lt;/author&gt;&lt;/authors&gt;&lt;/contributors&gt;&lt;titles&gt;&lt;title&gt;Extending Working Lives? Employability, Work Ability and Better Quality Working Lives&lt;/title&gt;&lt;secondary-title&gt;Social Policy and Society&lt;/secondary-title&gt;&lt;/titles&gt;&lt;periodical&gt;&lt;full-title&gt;Social Policy and Society&lt;/full-title&gt;&lt;/periodical&gt;&lt;pages&gt;299-308&lt;/pages&gt;&lt;volume&gt;10&lt;/volume&gt;&lt;number&gt;3&lt;/number&gt;&lt;dates&gt;&lt;year&gt;2011&lt;/year&gt;&lt;/dates&gt;&lt;urls&gt;&lt;related-urls&gt;&lt;url&gt;http://journals.cambridge.org/action/displayAbstract?fromPage=online&amp;amp;aid=8281167&lt;/url&gt;&lt;/related-urls&gt;&lt;/urls&gt;&lt;electronic-resource-num&gt;10.1017/S1474746411000030 &lt;/electronic-resource-num&gt;&lt;/record&gt;&lt;/Cite&gt;&lt;/EndNote&gt;</w:instrText>
      </w:r>
      <w:r w:rsidR="00390DAE">
        <w:fldChar w:fldCharType="separate"/>
      </w:r>
      <w:r w:rsidR="00390DAE">
        <w:rPr>
          <w:noProof/>
        </w:rPr>
        <w:t>(</w:t>
      </w:r>
      <w:hyperlink w:anchor="_ENREF_26" w:tooltip="Maltby, 2011 #1627" w:history="1">
        <w:r w:rsidR="003242B5">
          <w:rPr>
            <w:noProof/>
          </w:rPr>
          <w:t>Maltby 2011</w:t>
        </w:r>
      </w:hyperlink>
      <w:r w:rsidR="00390DAE">
        <w:rPr>
          <w:noProof/>
        </w:rPr>
        <w:t>)</w:t>
      </w:r>
      <w:r w:rsidR="00390DAE">
        <w:fldChar w:fldCharType="end"/>
      </w:r>
      <w:r w:rsidR="009A5873">
        <w:t xml:space="preserve">, </w:t>
      </w:r>
      <w:r w:rsidR="00995905">
        <w:t xml:space="preserve">which primarily considers </w:t>
      </w:r>
      <w:r w:rsidR="009A5873" w:rsidRPr="008611B9">
        <w:t>health, professional competence, values, and the nature of work</w:t>
      </w:r>
      <w:r w:rsidR="005A7048">
        <w:t xml:space="preserve">.  There is </w:t>
      </w:r>
      <w:r w:rsidR="009A5873">
        <w:t xml:space="preserve">good evidence that work-related factors influence the </w:t>
      </w:r>
      <w:r w:rsidR="00D1225A">
        <w:t xml:space="preserve">most common measure of work ability </w:t>
      </w:r>
      <w:r w:rsidR="00390DAE">
        <w:fldChar w:fldCharType="begin"/>
      </w:r>
      <w:r w:rsidR="00390DAE">
        <w:instrText xml:space="preserve"> ADDIN EN.CITE &lt;EndNote&gt;&lt;Cite&gt;&lt;Author&gt;van den Berg&lt;/Author&gt;&lt;Year&gt;2009&lt;/Year&gt;&lt;RecNum&gt;1374&lt;/RecNum&gt;&lt;DisplayText&gt;(van den Berg et al. 2009)&lt;/DisplayText&gt;&lt;record&gt;&lt;rec-number&gt;1374&lt;/rec-number&gt;&lt;foreign-keys&gt;&lt;key app="EN" db-id="0r2ffr5x6st05beff5rper2ax9sw5d9w0vzp" timestamp="0"&gt;1374&lt;/key&gt;&lt;/foreign-keys&gt;&lt;ref-type name="Journal Article"&gt;17&lt;/ref-type&gt;&lt;contributors&gt;&lt;authors&gt;&lt;author&gt;van den Berg, Tilja I. J.&lt;/author&gt;&lt;author&gt;Elders, Leo A. M.&lt;/author&gt;&lt;author&gt;De Zwart, BCH&lt;/author&gt;&lt;author&gt;Burdorf, A&lt;/author&gt;&lt;/authors&gt;&lt;/contributors&gt;&lt;titles&gt;&lt;title&gt;The effects of work-related and individual factors on the Work Ability Index: a systematic review&lt;/title&gt;&lt;secondary-title&gt;Occupational and Environmental Medicine&lt;/secondary-title&gt;&lt;/titles&gt;&lt;periodical&gt;&lt;full-title&gt;Occupational and Environmental Medicine&lt;/full-title&gt;&lt;/periodical&gt;&lt;pages&gt;211-220&lt;/pages&gt;&lt;volume&gt;66&lt;/volume&gt;&lt;dates&gt;&lt;year&gt;2009&lt;/year&gt;&lt;/dates&gt;&lt;urls&gt;&lt;related-urls&gt;&lt;url&gt;http://dx.doi.org/10.1136/oem.2008.039883&lt;/url&gt;&lt;/related-urls&gt;&lt;/urls&gt;&lt;custom1&gt;Read&lt;/custom1&gt;&lt;/record&gt;&lt;/Cite&gt;&lt;/EndNote&gt;</w:instrText>
      </w:r>
      <w:r w:rsidR="00390DAE">
        <w:fldChar w:fldCharType="separate"/>
      </w:r>
      <w:r w:rsidR="00390DAE">
        <w:rPr>
          <w:noProof/>
        </w:rPr>
        <w:t>(</w:t>
      </w:r>
      <w:hyperlink w:anchor="_ENREF_39" w:tooltip="van den Berg, 2009 #1374" w:history="1">
        <w:r w:rsidR="003242B5">
          <w:rPr>
            <w:noProof/>
          </w:rPr>
          <w:t>van den Berg et al. 2009</w:t>
        </w:r>
      </w:hyperlink>
      <w:r w:rsidR="00390DAE">
        <w:rPr>
          <w:noProof/>
        </w:rPr>
        <w:t>)</w:t>
      </w:r>
      <w:r w:rsidR="00390DAE">
        <w:fldChar w:fldCharType="end"/>
      </w:r>
      <w:r w:rsidR="005A7048">
        <w:t xml:space="preserve">, but </w:t>
      </w:r>
      <w:r w:rsidR="00D1225A">
        <w:t xml:space="preserve">this only offers a blurred </w:t>
      </w:r>
      <w:r w:rsidR="009A5873">
        <w:t xml:space="preserve">measure of incapacity as it includes </w:t>
      </w:r>
      <w:r w:rsidR="005A7048">
        <w:t xml:space="preserve">direct measures of health.  This reflects a general problem with </w:t>
      </w:r>
      <w:r w:rsidR="00512674">
        <w:t xml:space="preserve">the wider </w:t>
      </w:r>
      <w:r w:rsidR="005A7048">
        <w:t xml:space="preserve">quantitative </w:t>
      </w:r>
      <w:r w:rsidR="00512674">
        <w:t>literature</w:t>
      </w:r>
      <w:r w:rsidR="005A7048">
        <w:t xml:space="preserve">, </w:t>
      </w:r>
      <w:r w:rsidR="00512674">
        <w:t xml:space="preserve">including studies </w:t>
      </w:r>
      <w:r w:rsidR="005A7048">
        <w:t xml:space="preserve">using the demands-control model </w:t>
      </w:r>
      <w:r w:rsidR="00390DAE">
        <w:fldChar w:fldCharType="begin"/>
      </w:r>
      <w:r w:rsidR="00390DAE">
        <w:instrText xml:space="preserve"> ADDIN EN.CITE &lt;EndNote&gt;&lt;Cite&gt;&lt;Author&gt;Baumberg&lt;/Author&gt;&lt;Year&gt;2014&lt;/Year&gt;&lt;RecNum&gt;1723&lt;/RecNum&gt;&lt;DisplayText&gt;(Baumberg 2014)&lt;/DisplayText&gt;&lt;record&gt;&lt;rec-number&gt;1723&lt;/rec-number&gt;&lt;foreign-keys&gt;&lt;key app="EN" db-id="0r2ffr5x6st05beff5rper2ax9sw5d9w0vzp" timestamp="1400856378"&gt;1723&lt;/key&gt;&lt;/foreign-keys&gt;&lt;ref-type name="Journal Article"&gt;17&lt;/ref-type&gt;&lt;contributors&gt;&lt;authors&gt;&lt;author&gt;Baumberg, B.&lt;/author&gt;&lt;/authors&gt;&lt;/contributors&gt;&lt;titles&gt;&lt;title&gt;Fit-for-Work – or Work Fit for Disabled People? The Role of Changing Job Demands and Control in Incapacity Claims&lt;/title&gt;&lt;secondary-title&gt;Journal of Social Policy&lt;/secondary-title&gt;&lt;/titles&gt;&lt;periodical&gt;&lt;full-title&gt;Journal of Social Policy&lt;/full-title&gt;&lt;/periodical&gt;&lt;pages&gt;289-310&lt;/pages&gt;&lt;volume&gt;43&lt;/volume&gt;&lt;dates&gt;&lt;year&gt;2014&lt;/year&gt;&lt;/dates&gt;&lt;urls&gt;&lt;/urls&gt;&lt;electronic-resource-num&gt;10.1017/S0047279413000810&lt;/electronic-resource-num&gt;&lt;/record&gt;&lt;/Cite&gt;&lt;/EndNote&gt;</w:instrText>
      </w:r>
      <w:r w:rsidR="00390DAE">
        <w:fldChar w:fldCharType="separate"/>
      </w:r>
      <w:r w:rsidR="00390DAE">
        <w:rPr>
          <w:noProof/>
        </w:rPr>
        <w:t>(</w:t>
      </w:r>
      <w:hyperlink w:anchor="_ENREF_4" w:tooltip="Baumberg, 2014 #1723" w:history="1">
        <w:r w:rsidR="003242B5">
          <w:rPr>
            <w:noProof/>
          </w:rPr>
          <w:t>Baumberg 2014</w:t>
        </w:r>
      </w:hyperlink>
      <w:r w:rsidR="00390DAE">
        <w:rPr>
          <w:noProof/>
        </w:rPr>
        <w:t>)</w:t>
      </w:r>
      <w:r w:rsidR="00390DAE">
        <w:fldChar w:fldCharType="end"/>
      </w:r>
      <w:r w:rsidR="005A7048">
        <w:t xml:space="preserve">, which generally do not enable us to tease apart </w:t>
      </w:r>
      <w:r w:rsidR="00D1225A">
        <w:t xml:space="preserve">whether </w:t>
      </w:r>
      <w:r w:rsidR="005A7048">
        <w:t xml:space="preserve">working conditions </w:t>
      </w:r>
      <w:r w:rsidR="00D1225A">
        <w:t xml:space="preserve">impact </w:t>
      </w:r>
      <w:r w:rsidR="005A7048">
        <w:t xml:space="preserve">on ill-health </w:t>
      </w:r>
      <w:r w:rsidR="005A7048" w:rsidRPr="005A7048">
        <w:rPr>
          <w:i/>
        </w:rPr>
        <w:t>per se</w:t>
      </w:r>
      <w:r w:rsidR="005A7048">
        <w:t xml:space="preserve"> vs. </w:t>
      </w:r>
      <w:r w:rsidR="00995905">
        <w:t xml:space="preserve">whether working conditions make </w:t>
      </w:r>
      <w:r w:rsidR="00512674">
        <w:t>it harder for a person with a given level of ill-health to work</w:t>
      </w:r>
      <w:r w:rsidR="007E0705">
        <w:t>.  This is</w:t>
      </w:r>
      <w:r w:rsidR="005A7048">
        <w:t xml:space="preserve"> a crucial distinction, given that </w:t>
      </w:r>
      <w:r w:rsidR="00995905">
        <w:t>health do</w:t>
      </w:r>
      <w:r>
        <w:t>es</w:t>
      </w:r>
      <w:r w:rsidR="00995905">
        <w:t xml:space="preserve"> not explain the observed </w:t>
      </w:r>
      <w:r w:rsidR="005A7048">
        <w:t xml:space="preserve">socioeconomic inequalities in incapacity receipt </w:t>
      </w:r>
      <w:r w:rsidR="00390DAE">
        <w:rPr>
          <w:rFonts w:ascii="Calibri" w:hAnsi="Calibri"/>
          <w:color w:val="000000"/>
        </w:rPr>
        <w:fldChar w:fldCharType="begin"/>
      </w:r>
      <w:r w:rsidR="00390DAE">
        <w:rPr>
          <w:rFonts w:ascii="Calibri" w:hAnsi="Calibri"/>
          <w:color w:val="000000"/>
        </w:rPr>
        <w:instrText xml:space="preserve"> ADDIN EN.CITE &lt;EndNote&gt;&lt;Cite&gt;&lt;Author&gt;Østby&lt;/Author&gt;&lt;Year&gt;2011&lt;/Year&gt;&lt;RecNum&gt;1557&lt;/RecNum&gt;&lt;DisplayText&gt;(Østby et al. 2011)&lt;/DisplayText&gt;&lt;record&gt;&lt;rec-number&gt;1557&lt;/rec-number&gt;&lt;foreign-keys&gt;&lt;key app="EN" db-id="0r2ffr5x6st05beff5rper2ax9sw5d9w0vzp" timestamp="1307010168"&gt;1557&lt;/key&gt;&lt;/foreign-keys&gt;&lt;ref-type name="Journal Article"&gt;17&lt;/ref-type&gt;&lt;contributors&gt;&lt;authors&gt;&lt;author&gt;Østby, KA&lt;/author&gt;&lt;author&gt;Ørstavik, RE&lt;/author&gt;&lt;author&gt;Knudsen, AK&lt;/author&gt;&lt;author&gt;Reichborn-Kjennerud, T&lt;/author&gt;&lt;author&gt;Mykletun, A.&lt;/author&gt;&lt;/authors&gt;&lt;/contributors&gt;&lt;titles&gt;&lt;title&gt;Health problems account for a small part of the association between socioeconomic status and disability pension award. Results from the Hordaland Health Study.&lt;/title&gt;&lt;secondary-title&gt;BMC Public Health&lt;/secondary-title&gt;&lt;/titles&gt;&lt;periodical&gt;&lt;full-title&gt;BMC Public Health&lt;/full-title&gt;&lt;/periodical&gt;&lt;pages&gt;12&lt;/pages&gt;&lt;volume&gt;11&lt;/volume&gt;&lt;dates&gt;&lt;year&gt;2011&lt;/year&gt;&lt;/dates&gt;&lt;urls&gt;&lt;/urls&gt;&lt;custom1&gt;Read abstract&lt;/custom1&gt;&lt;/record&gt;&lt;/Cite&gt;&lt;/EndNote&gt;</w:instrText>
      </w:r>
      <w:r w:rsidR="00390DAE">
        <w:rPr>
          <w:rFonts w:ascii="Calibri" w:hAnsi="Calibri"/>
          <w:color w:val="000000"/>
        </w:rPr>
        <w:fldChar w:fldCharType="separate"/>
      </w:r>
      <w:r w:rsidR="00390DAE">
        <w:rPr>
          <w:rFonts w:ascii="Calibri" w:hAnsi="Calibri"/>
          <w:noProof/>
          <w:color w:val="000000"/>
        </w:rPr>
        <w:t>(</w:t>
      </w:r>
      <w:hyperlink w:anchor="_ENREF_34" w:tooltip="Østby, 2011 #1557" w:history="1">
        <w:r w:rsidR="003242B5">
          <w:rPr>
            <w:rFonts w:ascii="Calibri" w:hAnsi="Calibri"/>
            <w:noProof/>
            <w:color w:val="000000"/>
          </w:rPr>
          <w:t>Østby et al. 2011</w:t>
        </w:r>
      </w:hyperlink>
      <w:r w:rsidR="00390DAE">
        <w:rPr>
          <w:rFonts w:ascii="Calibri" w:hAnsi="Calibri"/>
          <w:noProof/>
          <w:color w:val="000000"/>
        </w:rPr>
        <w:t>)</w:t>
      </w:r>
      <w:r w:rsidR="00390DAE">
        <w:rPr>
          <w:rFonts w:ascii="Calibri" w:hAnsi="Calibri"/>
          <w:color w:val="000000"/>
        </w:rPr>
        <w:fldChar w:fldCharType="end"/>
      </w:r>
      <w:r w:rsidR="005A7048">
        <w:t xml:space="preserve">.  </w:t>
      </w:r>
    </w:p>
    <w:p w14:paraId="229A0D69" w14:textId="115F0716" w:rsidR="00332EF2" w:rsidRDefault="005A7048" w:rsidP="00947E73">
      <w:pPr>
        <w:spacing w:line="480" w:lineRule="auto"/>
      </w:pPr>
      <w:r>
        <w:t xml:space="preserve">Qualitative research is potentially more promising in </w:t>
      </w:r>
      <w:r w:rsidR="00995905">
        <w:t xml:space="preserve">separating </w:t>
      </w:r>
      <w:r>
        <w:t>the</w:t>
      </w:r>
      <w:r w:rsidR="00995905">
        <w:t>se two</w:t>
      </w:r>
      <w:r>
        <w:t xml:space="preserve"> </w:t>
      </w:r>
      <w:r w:rsidR="007143BE">
        <w:t xml:space="preserve">explanations, given that it can trace the </w:t>
      </w:r>
      <w:r w:rsidR="00623EC9">
        <w:t xml:space="preserve">complex </w:t>
      </w:r>
      <w:r w:rsidR="007143BE">
        <w:t>process</w:t>
      </w:r>
      <w:r w:rsidR="004B61B8">
        <w:t>es</w:t>
      </w:r>
      <w:r w:rsidR="007143BE">
        <w:t xml:space="preserve"> through which factors have causal effects </w:t>
      </w:r>
      <w:r w:rsidR="003242B5">
        <w:fldChar w:fldCharType="begin"/>
      </w:r>
      <w:r w:rsidR="003242B5">
        <w:instrText xml:space="preserve"> ADDIN EN.CITE &lt;EndNote&gt;&lt;Cite&gt;&lt;Author&gt;Maxwell&lt;/Author&gt;&lt;Year&gt;2004&lt;/Year&gt;&lt;RecNum&gt;1728&lt;/RecNum&gt;&lt;DisplayText&gt;(Maxwell 2004)&lt;/DisplayText&gt;&lt;record&gt;&lt;rec-number&gt;1728&lt;/rec-number&gt;&lt;foreign-keys&gt;&lt;key app="EN" db-id="0r2ffr5x6st05beff5rper2ax9sw5d9w0vzp" timestamp="1401135455"&gt;1728&lt;/key&gt;&lt;/foreign-keys&gt;&lt;ref-type name="Journal Article"&gt;17&lt;/ref-type&gt;&lt;contributors&gt;&lt;authors&gt;&lt;author&gt;Maxwell, Joseph A.&lt;/author&gt;&lt;/authors&gt;&lt;/contributors&gt;&lt;titles&gt;&lt;title&gt;Using Qualitative Methods for Causal Explanation&lt;/title&gt;&lt;secondary-title&gt;Field Methods&lt;/secondary-title&gt;&lt;/titles&gt;&lt;periodical&gt;&lt;full-title&gt;Field Methods&lt;/full-title&gt;&lt;/periodical&gt;&lt;pages&gt;243-264&lt;/pages&gt;&lt;volume&gt;16&lt;/volume&gt;&lt;number&gt;3&lt;/number&gt;&lt;dates&gt;&lt;year&gt;2004&lt;/year&gt;&lt;pub-dates&gt;&lt;date&gt;August 1, 2004&lt;/date&gt;&lt;/pub-dates&gt;&lt;/dates&gt;&lt;urls&gt;&lt;related-urls&gt;&lt;url&gt;http://fmx.sagepub.com/content/16/3/243.abstract&lt;/url&gt;&lt;/related-urls&gt;&lt;/urls&gt;&lt;electronic-resource-num&gt;10.1177/1525822x04266831&lt;/electronic-resource-num&gt;&lt;/record&gt;&lt;/Cite&gt;&lt;/EndNote&gt;</w:instrText>
      </w:r>
      <w:r w:rsidR="003242B5">
        <w:fldChar w:fldCharType="separate"/>
      </w:r>
      <w:r w:rsidR="003242B5">
        <w:rPr>
          <w:noProof/>
        </w:rPr>
        <w:t>(</w:t>
      </w:r>
      <w:hyperlink w:anchor="_ENREF_28" w:tooltip="Maxwell, 2004 #1728" w:history="1">
        <w:r w:rsidR="003242B5">
          <w:rPr>
            <w:noProof/>
          </w:rPr>
          <w:t>Maxwell 2004</w:t>
        </w:r>
      </w:hyperlink>
      <w:r w:rsidR="003242B5">
        <w:rPr>
          <w:noProof/>
        </w:rPr>
        <w:t>)</w:t>
      </w:r>
      <w:r w:rsidR="003242B5">
        <w:fldChar w:fldCharType="end"/>
      </w:r>
      <w:r>
        <w:t xml:space="preserve">.  </w:t>
      </w:r>
      <w:r w:rsidR="004B61B8">
        <w:t>S</w:t>
      </w:r>
      <w:r w:rsidR="00E64621">
        <w:t xml:space="preserve">tudies </w:t>
      </w:r>
      <w:r w:rsidR="004B61B8">
        <w:t xml:space="preserve">of incapacity </w:t>
      </w:r>
      <w:r w:rsidR="00E64621">
        <w:t xml:space="preserve">nearly always </w:t>
      </w:r>
      <w:r w:rsidR="00A12002">
        <w:t xml:space="preserve">thickly describe </w:t>
      </w:r>
      <w:r w:rsidR="00E64621">
        <w:t xml:space="preserve">the </w:t>
      </w:r>
      <w:r w:rsidR="00DA0E3D">
        <w:t xml:space="preserve">incapacitating effect </w:t>
      </w:r>
      <w:r>
        <w:t xml:space="preserve">of the </w:t>
      </w:r>
      <w:r w:rsidR="00E64621">
        <w:t>pace and intensity of work</w:t>
      </w:r>
      <w:r w:rsidR="00D1225A">
        <w:t xml:space="preserve">, </w:t>
      </w:r>
      <w:r w:rsidR="007E0705">
        <w:t xml:space="preserve">and also the ways in which employer adjustments and phased returns-to-work can avoid incapacity </w:t>
      </w:r>
      <w:r w:rsidR="00390DAE">
        <w:fldChar w:fldCharType="begin">
          <w:fldData xml:space="preserve">PEVuZE5vdGU+PENpdGU+PEF1dGhvcj5HZXd1cnR6PC9BdXRob3I+PFllYXI+MjAwOTwvWWVhcj48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==
</w:fldData>
        </w:fldChar>
      </w:r>
      <w:r w:rsidR="00390DAE">
        <w:instrText xml:space="preserve"> ADDIN EN.CITE </w:instrText>
      </w:r>
      <w:r w:rsidR="00390DAE">
        <w:fldChar w:fldCharType="begin">
          <w:fldData xml:space="preserve">PEVuZE5vdGU+PENpdGU+PEF1dGhvcj5HZXd1cnR6PC9BdXRob3I+PFllYXI+MjAwOTwvWWVhcj48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==
</w:fldData>
        </w:fldChar>
      </w:r>
      <w:r w:rsidR="00390DAE">
        <w:instrText xml:space="preserve"> ADDIN EN.CITE.DATA </w:instrText>
      </w:r>
      <w:r w:rsidR="00390DAE">
        <w:fldChar w:fldCharType="end"/>
      </w:r>
      <w:r w:rsidR="00390DAE">
        <w:fldChar w:fldCharType="separate"/>
      </w:r>
      <w:r w:rsidR="00390DAE">
        <w:rPr>
          <w:noProof/>
        </w:rPr>
        <w:t xml:space="preserve">(e.g. </w:t>
      </w:r>
      <w:hyperlink w:anchor="_ENREF_10" w:tooltip="Gewurtz, 2009 #1009" w:history="1">
        <w:r w:rsidR="003242B5">
          <w:rPr>
            <w:noProof/>
          </w:rPr>
          <w:t>Gewurtz and Kirs 2009</w:t>
        </w:r>
      </w:hyperlink>
      <w:r w:rsidR="00390DAE">
        <w:rPr>
          <w:noProof/>
        </w:rPr>
        <w:t xml:space="preserve">, </w:t>
      </w:r>
      <w:hyperlink w:anchor="_ENREF_38" w:tooltip="Sainsbury, 2008 #731" w:history="1">
        <w:r w:rsidR="003242B5">
          <w:rPr>
            <w:noProof/>
          </w:rPr>
          <w:t>Sainsbury et al. 2008:64</w:t>
        </w:r>
      </w:hyperlink>
      <w:r w:rsidR="00390DAE">
        <w:rPr>
          <w:noProof/>
        </w:rPr>
        <w:t>)</w:t>
      </w:r>
      <w:r w:rsidR="00390DAE">
        <w:fldChar w:fldCharType="end"/>
      </w:r>
      <w:r w:rsidR="007E0705">
        <w:t xml:space="preserve">.  </w:t>
      </w:r>
      <w:r w:rsidR="00863171" w:rsidRPr="004C48DF">
        <w:t xml:space="preserve">Yet </w:t>
      </w:r>
      <w:r w:rsidR="00512674">
        <w:t xml:space="preserve">many of the medically-oriented </w:t>
      </w:r>
      <w:r w:rsidR="00863171" w:rsidRPr="004C48DF">
        <w:t xml:space="preserve">studies </w:t>
      </w:r>
      <w:r w:rsidR="003B40C5">
        <w:t xml:space="preserve">simply </w:t>
      </w:r>
      <w:r w:rsidR="00863171">
        <w:t xml:space="preserve">list </w:t>
      </w:r>
      <w:r w:rsidR="003B40C5">
        <w:t xml:space="preserve">the </w:t>
      </w:r>
      <w:r w:rsidR="00863171">
        <w:t xml:space="preserve">factors </w:t>
      </w:r>
      <w:r w:rsidR="00863171" w:rsidRPr="004C48DF">
        <w:t xml:space="preserve">that mattered within that particular sample </w:t>
      </w:r>
      <w:r w:rsidR="00390DAE">
        <w:fldChar w:fldCharType="begin">
          <w:fldData xml:space="preserve">PEVuZE5vdGU+PENpdGU+PEF1dGhvcj5LZW5uZWR5PC9BdXRob3I+PFllYXI+MjAwNzwvWWVhcj48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</w:fldData>
        </w:fldChar>
      </w:r>
      <w:r w:rsidR="00390DAE">
        <w:instrText xml:space="preserve"> ADDIN EN.CITE </w:instrText>
      </w:r>
      <w:r w:rsidR="00390DAE">
        <w:fldChar w:fldCharType="begin">
          <w:fldData xml:space="preserve">PEVuZE5vdGU+PENpdGU+PEF1dGhvcj5LZW5uZWR5PC9BdXRob3I+PFllYXI+MjAwNzwvWWVhcj48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</w:fldData>
        </w:fldChar>
      </w:r>
      <w:r w:rsidR="00390DAE">
        <w:instrText xml:space="preserve"> ADDIN EN.CITE.DATA </w:instrText>
      </w:r>
      <w:r w:rsidR="00390DAE">
        <w:fldChar w:fldCharType="end"/>
      </w:r>
      <w:r w:rsidR="00390DAE">
        <w:fldChar w:fldCharType="separate"/>
      </w:r>
      <w:r w:rsidR="00390DAE">
        <w:rPr>
          <w:noProof/>
        </w:rPr>
        <w:t xml:space="preserve">(e.g. </w:t>
      </w:r>
      <w:hyperlink w:anchor="_ENREF_23" w:tooltip="Kennedy, 2007 #1184" w:history="1">
        <w:r w:rsidR="003242B5">
          <w:rPr>
            <w:noProof/>
          </w:rPr>
          <w:t>Kennedy et al. 2007</w:t>
        </w:r>
      </w:hyperlink>
      <w:r w:rsidR="00390DAE">
        <w:rPr>
          <w:noProof/>
        </w:rPr>
        <w:t xml:space="preserve">, </w:t>
      </w:r>
      <w:hyperlink w:anchor="_ENREF_24" w:tooltip="Liedberg, 2002 #1182" w:history="1">
        <w:r w:rsidR="003242B5">
          <w:rPr>
            <w:noProof/>
          </w:rPr>
          <w:t>Liedberg and Henriksson 2002</w:t>
        </w:r>
      </w:hyperlink>
      <w:r w:rsidR="00390DAE">
        <w:rPr>
          <w:noProof/>
        </w:rPr>
        <w:t>)</w:t>
      </w:r>
      <w:r w:rsidR="00390DAE">
        <w:fldChar w:fldCharType="end"/>
      </w:r>
      <w:r w:rsidR="00863171">
        <w:t xml:space="preserve">, rather than </w:t>
      </w:r>
      <w:r w:rsidR="003B40C5">
        <w:t xml:space="preserve">constructing a theoretical account of </w:t>
      </w:r>
      <w:r w:rsidR="00863171">
        <w:t xml:space="preserve">how these factors </w:t>
      </w:r>
      <w:r w:rsidR="00863171" w:rsidRPr="00863171">
        <w:rPr>
          <w:i/>
        </w:rPr>
        <w:t>in combination</w:t>
      </w:r>
      <w:r w:rsidR="00863171">
        <w:t xml:space="preserve"> limit the </w:t>
      </w:r>
      <w:r w:rsidR="00332EF2">
        <w:t xml:space="preserve">possibilities </w:t>
      </w:r>
      <w:r w:rsidR="00863171">
        <w:t xml:space="preserve">available </w:t>
      </w:r>
      <w:r w:rsidR="00332EF2">
        <w:t xml:space="preserve">for </w:t>
      </w:r>
      <w:r w:rsidR="00863171">
        <w:t>different people</w:t>
      </w:r>
      <w:r w:rsidR="003B40C5">
        <w:t xml:space="preserve">.  </w:t>
      </w:r>
      <w:r w:rsidR="004B61B8">
        <w:t>And while they sometimes consider biopsychosocial factors, they rarely offer any integration with Beatty &amp; Fothergill’s account of hidden unemployment.</w:t>
      </w:r>
    </w:p>
    <w:p w14:paraId="666F17F9" w14:textId="5B9167B7" w:rsidR="00947E73" w:rsidRDefault="00DF0905" w:rsidP="00947E73">
      <w:pPr>
        <w:spacing w:line="480" w:lineRule="auto"/>
      </w:pPr>
      <w:r>
        <w:lastRenderedPageBreak/>
        <w:t xml:space="preserve">The </w:t>
      </w:r>
      <w:r w:rsidR="00332EF2">
        <w:t xml:space="preserve">gaps in knowledge can </w:t>
      </w:r>
      <w:r>
        <w:t xml:space="preserve">perhaps be most clearly seen when looking at two of the most </w:t>
      </w:r>
      <w:r w:rsidR="00332EF2">
        <w:t xml:space="preserve">nuanced </w:t>
      </w:r>
      <w:r>
        <w:t>accounts</w:t>
      </w:r>
      <w:r w:rsidR="00332EF2">
        <w:t xml:space="preserve">.  Johansson’s </w:t>
      </w:r>
      <w:r w:rsidR="00512674" w:rsidRPr="00512674">
        <w:t xml:space="preserve">illness flexibility model </w:t>
      </w:r>
      <w:r w:rsidR="00390DAE">
        <w:fldChar w:fldCharType="begin"/>
      </w:r>
      <w:r w:rsidR="00390DAE">
        <w:instrText xml:space="preserve"> ADDIN EN.CITE &lt;EndNote&gt;&lt;Cite&gt;&lt;Author&gt;Johansson&lt;/Author&gt;&lt;Year&gt;2004&lt;/Year&gt;&lt;RecNum&gt;1204&lt;/RecNum&gt;&lt;DisplayText&gt;(Johansson and Lundberg 2004, Hansson et al. 2006)&lt;/DisplayText&gt;&lt;record&gt;&lt;rec-number&gt;1204&lt;/rec-number&gt;&lt;foreign-keys&gt;&lt;key app="EN" db-id="0r2ffr5x6st05beff5rper2ax9sw5d9w0vzp" timestamp="0"&gt;1204&lt;/key&gt;&lt;/foreign-keys&gt;&lt;ref-type name="Journal Article"&gt;17&lt;/ref-type&gt;&lt;contributors&gt;&lt;authors&gt;&lt;author&gt;Gun Johansson&lt;/author&gt;&lt;author&gt;Ingvar Lundberg&lt;/author&gt;&lt;/authors&gt;&lt;/contributors&gt;&lt;titles&gt;&lt;title&gt;Adjustment latitude and attendance requirements as determinants of sickness absence or attendance. Empirical tests of the illness flexibility model&lt;/title&gt;&lt;secondary-title&gt;Social Science &amp;amp; Medicine&lt;/secondary-title&gt;&lt;/titles&gt;&lt;periodical&gt;&lt;full-title&gt;Social Science &amp;amp; Medicine&lt;/full-title&gt;&lt;/periodical&gt;&lt;pages&gt;1857-1868&lt;/pages&gt;&lt;volume&gt;58&lt;/volume&gt;&lt;dates&gt;&lt;year&gt;2004&lt;/year&gt;&lt;/dates&gt;&lt;urls&gt;&lt;related-urls&gt;&lt;url&gt;http://dx.doi.org/10.1016/S0277-9536(03)00407-6&lt;/url&gt;&lt;/related-urls&gt;&lt;/urls&gt;&lt;custom1&gt;Read&lt;/custom1&gt;&lt;/record&gt;&lt;/Cite&gt;&lt;Cite&gt;&lt;Author&gt;Hansson&lt;/Author&gt;&lt;Year&gt;2006&lt;/Year&gt;&lt;RecNum&gt;1205&lt;/RecNum&gt;&lt;record&gt;&lt;rec-number&gt;1205&lt;/rec-number&gt;&lt;foreign-keys&gt;&lt;key app="EN" db-id="0r2ffr5x6st05beff5rper2ax9sw5d9w0vzp" timestamp="0"&gt;1205&lt;/key&gt;&lt;/foreign-keys&gt;&lt;ref-type name="Journal Article"&gt;17&lt;/ref-type&gt;&lt;contributors&gt;&lt;authors&gt;&lt;author&gt;Margareta Hansson&lt;/author&gt;&lt;author&gt;Carina Bostrom&lt;/author&gt;&lt;author&gt;Karin Harms-Ringdahl&lt;/author&gt;&lt;/authors&gt;&lt;/contributors&gt;&lt;titles&gt;&lt;title&gt;Sickness absence and sickness attendance—What people with neck or back pain think&lt;/title&gt;&lt;secondary-title&gt;Social Science &amp;amp; Medicine&lt;/secondary-title&gt;&lt;/titles&gt;&lt;periodical&gt;&lt;full-title&gt;Social Science &amp;amp; Medicine&lt;/full-title&gt;&lt;/periodical&gt;&lt;pages&gt;2183-2195&lt;/pages&gt;&lt;volume&gt;62&lt;/volume&gt;&lt;keywords&gt;&lt;keyword&gt;job control&lt;/keyword&gt;&lt;keyword&gt;concepts - fitness-for-work&lt;/keyword&gt;&lt;/keywords&gt;&lt;dates&gt;&lt;year&gt;2006&lt;/year&gt;&lt;/dates&gt;&lt;urls&gt;&lt;/urls&gt;&lt;custom1&gt;Read&lt;/custom1&gt;&lt;custom3&gt;Sweden&lt;/custom3&gt;&lt;/record&gt;&lt;/Cite&gt;&lt;/EndNote&gt;</w:instrText>
      </w:r>
      <w:r w:rsidR="00390DAE">
        <w:fldChar w:fldCharType="separate"/>
      </w:r>
      <w:r w:rsidR="00390DAE">
        <w:rPr>
          <w:noProof/>
        </w:rPr>
        <w:t>(</w:t>
      </w:r>
      <w:hyperlink w:anchor="_ENREF_18" w:tooltip="Johansson, 2004 #1204" w:history="1">
        <w:r w:rsidR="003242B5">
          <w:rPr>
            <w:noProof/>
          </w:rPr>
          <w:t>Johansson and Lundberg 2004</w:t>
        </w:r>
      </w:hyperlink>
      <w:r w:rsidR="00390DAE">
        <w:rPr>
          <w:noProof/>
        </w:rPr>
        <w:t xml:space="preserve">, </w:t>
      </w:r>
      <w:hyperlink w:anchor="_ENREF_13" w:tooltip="Hansson, 2006 #1205" w:history="1">
        <w:r w:rsidR="003242B5">
          <w:rPr>
            <w:noProof/>
          </w:rPr>
          <w:t>Hansson et al. 2006</w:t>
        </w:r>
      </w:hyperlink>
      <w:r w:rsidR="00390DAE">
        <w:rPr>
          <w:noProof/>
        </w:rPr>
        <w:t>)</w:t>
      </w:r>
      <w:r w:rsidR="00390DAE">
        <w:fldChar w:fldCharType="end"/>
      </w:r>
      <w:r w:rsidR="00512674" w:rsidRPr="00512674">
        <w:t xml:space="preserve"> </w:t>
      </w:r>
      <w:r w:rsidR="00332EF2">
        <w:t xml:space="preserve">considers </w:t>
      </w:r>
      <w:r>
        <w:t xml:space="preserve">how </w:t>
      </w:r>
      <w:r w:rsidR="00512674">
        <w:t>‘requirements’</w:t>
      </w:r>
      <w:r w:rsidR="00DA0E3D">
        <w:t xml:space="preserve"> (constraints), ‘incentives’ and job flexibility (see below) </w:t>
      </w:r>
      <w:r w:rsidR="00332EF2">
        <w:t>i</w:t>
      </w:r>
      <w:r>
        <w:t>nfluence</w:t>
      </w:r>
      <w:r w:rsidR="00332EF2">
        <w:t xml:space="preserve"> </w:t>
      </w:r>
      <w:r w:rsidR="00DA0E3D">
        <w:t>sickness absence</w:t>
      </w:r>
      <w:r w:rsidR="00512674" w:rsidRPr="00512674">
        <w:t xml:space="preserve">.  </w:t>
      </w:r>
      <w:r w:rsidR="00DA0E3D">
        <w:t>Likewise</w:t>
      </w:r>
      <w:r w:rsidR="00332EF2">
        <w:t xml:space="preserve">, longitudinal qualitative research by the Social Policy Research Unit at the University of York </w:t>
      </w:r>
      <w:r w:rsidR="00390DAE">
        <w:fldChar w:fldCharType="begin">
          <w:fldData xml:space="preserve">PEVuZE5vdGU+PENpdGU+PEF1dGhvcj5TYWluc2J1cnk8L0F1dGhvcj48WWVhcj4yMDA2PC9ZZWFy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</w:fldData>
        </w:fldChar>
      </w:r>
      <w:r w:rsidR="00390DAE">
        <w:instrText xml:space="preserve"> ADDIN EN.CITE </w:instrText>
      </w:r>
      <w:r w:rsidR="00390DAE">
        <w:fldChar w:fldCharType="begin">
          <w:fldData xml:space="preserve">PEVuZE5vdGU+PENpdGU+PEF1dGhvcj5TYWluc2J1cnk8L0F1dGhvcj48WWVhcj4yMDA2PC9ZZWFy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</w:fldData>
        </w:fldChar>
      </w:r>
      <w:r w:rsidR="00390DAE">
        <w:instrText xml:space="preserve"> ADDIN EN.CITE.DATA </w:instrText>
      </w:r>
      <w:r w:rsidR="00390DAE">
        <w:fldChar w:fldCharType="end"/>
      </w:r>
      <w:r w:rsidR="00390DAE">
        <w:fldChar w:fldCharType="separate"/>
      </w:r>
      <w:r w:rsidR="00390DAE">
        <w:rPr>
          <w:noProof/>
        </w:rPr>
        <w:t>(</w:t>
      </w:r>
      <w:hyperlink w:anchor="_ENREF_37" w:tooltip="Sainsbury, 2006 #143" w:history="1">
        <w:r w:rsidR="003242B5">
          <w:rPr>
            <w:noProof/>
          </w:rPr>
          <w:t>Sainsbury and Davidson 2006</w:t>
        </w:r>
      </w:hyperlink>
      <w:r w:rsidR="00390DAE">
        <w:rPr>
          <w:noProof/>
        </w:rPr>
        <w:t xml:space="preserve">, </w:t>
      </w:r>
      <w:hyperlink w:anchor="_ENREF_17" w:tooltip="Irvine, 2011 #1187" w:history="1">
        <w:r w:rsidR="003242B5">
          <w:rPr>
            <w:noProof/>
          </w:rPr>
          <w:t>Irvine 2011</w:t>
        </w:r>
      </w:hyperlink>
      <w:r w:rsidR="00390DAE">
        <w:rPr>
          <w:noProof/>
        </w:rPr>
        <w:t xml:space="preserve">, </w:t>
      </w:r>
      <w:hyperlink w:anchor="_ENREF_38" w:tooltip="Sainsbury, 2008 #731" w:history="1">
        <w:r w:rsidR="003242B5">
          <w:rPr>
            <w:noProof/>
          </w:rPr>
          <w:t>Sainsbury et al. 2008</w:t>
        </w:r>
      </w:hyperlink>
      <w:r w:rsidR="00390DAE">
        <w:rPr>
          <w:noProof/>
        </w:rPr>
        <w:t>)</w:t>
      </w:r>
      <w:r w:rsidR="00390DAE">
        <w:fldChar w:fldCharType="end"/>
      </w:r>
      <w:r>
        <w:t xml:space="preserve"> captures the </w:t>
      </w:r>
      <w:r w:rsidR="001347F4">
        <w:t xml:space="preserve">unfolding influence of nearly every </w:t>
      </w:r>
      <w:r w:rsidR="00995905">
        <w:t xml:space="preserve">known </w:t>
      </w:r>
      <w:r w:rsidR="001347F4">
        <w:t xml:space="preserve">factor </w:t>
      </w:r>
      <w:r>
        <w:t xml:space="preserve">on employment among disabled people.  Yet </w:t>
      </w:r>
      <w:r w:rsidR="00D1225A">
        <w:t xml:space="preserve">in their desire to capture multiple influences, neither study fully explores people’s </w:t>
      </w:r>
      <w:r w:rsidR="00D1225A" w:rsidRPr="00D1225A">
        <w:rPr>
          <w:i/>
        </w:rPr>
        <w:t>ability</w:t>
      </w:r>
      <w:r w:rsidR="00D1225A">
        <w:t xml:space="preserve"> to work, nor whether </w:t>
      </w:r>
      <w:r w:rsidR="00B1354B">
        <w:t xml:space="preserve">lower-skilled </w:t>
      </w:r>
      <w:r w:rsidR="00D1225A">
        <w:t xml:space="preserve">people </w:t>
      </w:r>
      <w:r w:rsidR="00B12CD7">
        <w:t xml:space="preserve">with an impairment </w:t>
      </w:r>
      <w:r w:rsidR="00D1225A">
        <w:t xml:space="preserve">have </w:t>
      </w:r>
      <w:r w:rsidR="00DA0E3D">
        <w:t xml:space="preserve">fewer </w:t>
      </w:r>
      <w:r w:rsidR="00D1225A">
        <w:t>abilities to work</w:t>
      </w:r>
      <w:r w:rsidR="00B12CD7">
        <w:t xml:space="preserve"> </w:t>
      </w:r>
      <w:r w:rsidR="00D1225A">
        <w:t xml:space="preserve">– leaving us with a critical gap in this </w:t>
      </w:r>
      <w:r w:rsidR="00B12CD7">
        <w:t xml:space="preserve">valuable </w:t>
      </w:r>
      <w:r w:rsidR="00D1225A">
        <w:t>comprehensive literature.  T</w:t>
      </w:r>
      <w:r>
        <w:t xml:space="preserve">o our knowledge, </w:t>
      </w:r>
      <w:r w:rsidR="00D1225A">
        <w:t xml:space="preserve">the present study </w:t>
      </w:r>
      <w:r>
        <w:t xml:space="preserve">is the first to </w:t>
      </w:r>
      <w:r w:rsidR="00623EC9">
        <w:t xml:space="preserve">combine these disparate literatures and </w:t>
      </w:r>
      <w:r w:rsidR="00D1225A">
        <w:t xml:space="preserve">focus specifically on </w:t>
      </w:r>
      <w:r>
        <w:t xml:space="preserve">whether there are </w:t>
      </w:r>
      <w:r w:rsidR="00B1354B">
        <w:t xml:space="preserve">educational </w:t>
      </w:r>
      <w:r>
        <w:t>inequalities in how impairment becomes incapacity.</w:t>
      </w:r>
    </w:p>
    <w:p w14:paraId="535C29A5" w14:textId="77777777" w:rsidR="00DE16FC" w:rsidRDefault="00DE16FC" w:rsidP="00947E73">
      <w:pPr>
        <w:pStyle w:val="Heading1"/>
        <w:spacing w:line="480" w:lineRule="auto"/>
      </w:pPr>
      <w:r>
        <w:t>Methodology</w:t>
      </w:r>
    </w:p>
    <w:p w14:paraId="4B432DFB" w14:textId="217B703B" w:rsidR="00CE2E92" w:rsidRPr="004C48DF" w:rsidRDefault="0063393E" w:rsidP="00947E73">
      <w:pPr>
        <w:spacing w:line="480" w:lineRule="auto"/>
      </w:pPr>
      <w:r w:rsidRPr="00DF422C">
        <w:t xml:space="preserve">Rather than aiming to be statistically representative, </w:t>
      </w:r>
      <w:r w:rsidR="00F34B78" w:rsidRPr="00DF422C">
        <w:t xml:space="preserve">this </w:t>
      </w:r>
      <w:r w:rsidRPr="00DF422C">
        <w:t xml:space="preserve">sample </w:t>
      </w:r>
      <w:r w:rsidR="00F34B78" w:rsidRPr="00DF422C">
        <w:t xml:space="preserve">aimed to cover </w:t>
      </w:r>
      <w:r w:rsidRPr="00DF422C">
        <w:t>the range of variation within the wider population</w:t>
      </w:r>
      <w:r w:rsidR="003242B5">
        <w:t xml:space="preserve"> </w:t>
      </w:r>
      <w:r w:rsidR="003242B5">
        <w:fldChar w:fldCharType="begin"/>
      </w:r>
      <w:r w:rsidR="003242B5">
        <w:instrText xml:space="preserve"> ADDIN EN.CITE &lt;EndNote&gt;&lt;Cite&gt;&lt;Author&gt;Ritchie&lt;/Author&gt;&lt;Year&gt;2003&lt;/Year&gt;&lt;RecNum&gt;1219&lt;/RecNum&gt;&lt;DisplayText&gt;(Ritchie and Lewis 2003)&lt;/DisplayText&gt;&lt;record&gt;&lt;rec-number&gt;1219&lt;/rec-number&gt;&lt;foreign-keys&gt;&lt;key app="EN" db-id="0r2ffr5x6st05beff5rper2ax9sw5d9w0vzp" timestamp="0"&gt;1219&lt;/key&gt;&lt;/foreign-keys&gt;&lt;ref-type name="Book"&gt;6&lt;/ref-type&gt;&lt;contributors&gt;&lt;authors&gt;&lt;author&gt;Ritchie, J&lt;/author&gt;&lt;author&gt;Lewis,J&lt;/author&gt;&lt;/authors&gt;&lt;/contributors&gt;&lt;titles&gt;&lt;title&gt;Qualitative research practice: a guide for social science students and researchers&lt;/title&gt;&lt;/titles&gt;&lt;keywords&gt;&lt;keyword&gt;methodology - qual on health&lt;/keyword&gt;&lt;/keywords&gt;&lt;dates&gt;&lt;year&gt;2003&lt;/year&gt;&lt;/dates&gt;&lt;pub-location&gt;London&lt;/pub-location&gt;&lt;publisher&gt;SAGE&lt;/publisher&gt;&lt;urls&gt;&lt;/urls&gt;&lt;custom1&gt;Read&lt;/custom1&gt;&lt;/record&gt;&lt;/Cite&gt;&lt;/EndNote&gt;</w:instrText>
      </w:r>
      <w:r w:rsidR="003242B5">
        <w:fldChar w:fldCharType="separate"/>
      </w:r>
      <w:r w:rsidR="003242B5">
        <w:rPr>
          <w:noProof/>
        </w:rPr>
        <w:t>(</w:t>
      </w:r>
      <w:hyperlink w:anchor="_ENREF_36" w:tooltip="Ritchie, 2003 #1219" w:history="1">
        <w:r w:rsidR="003242B5">
          <w:rPr>
            <w:noProof/>
          </w:rPr>
          <w:t>Ritchie and Lewis 2003</w:t>
        </w:r>
      </w:hyperlink>
      <w:r w:rsidR="003242B5">
        <w:rPr>
          <w:noProof/>
        </w:rPr>
        <w:t>)</w:t>
      </w:r>
      <w:r w:rsidR="003242B5">
        <w:fldChar w:fldCharType="end"/>
      </w:r>
      <w:r w:rsidR="00D1225A">
        <w:t xml:space="preserve">, focusing </w:t>
      </w:r>
      <w:r w:rsidRPr="00DF422C">
        <w:t xml:space="preserve">(i) type of health condition; (ii) whether the person left work; (iii) gender; </w:t>
      </w:r>
      <w:r w:rsidR="00CE2E92" w:rsidRPr="00DF422C">
        <w:t xml:space="preserve">and </w:t>
      </w:r>
      <w:r w:rsidRPr="00DF422C">
        <w:t>(iv) education level</w:t>
      </w:r>
      <w:r w:rsidR="00CE2E92" w:rsidRPr="00DF422C">
        <w:t xml:space="preserve">.  Participants were </w:t>
      </w:r>
      <w:r w:rsidRPr="00DF422C">
        <w:t>purposively</w:t>
      </w:r>
      <w:r w:rsidR="00CE2E92" w:rsidRPr="00DF422C">
        <w:t xml:space="preserve"> </w:t>
      </w:r>
      <w:r w:rsidRPr="00DF422C">
        <w:t>recruit</w:t>
      </w:r>
      <w:r w:rsidR="00CE2E92" w:rsidRPr="00DF422C">
        <w:t>ed</w:t>
      </w:r>
      <w:r w:rsidRPr="00DF422C">
        <w:t xml:space="preserve"> through </w:t>
      </w:r>
      <w:r w:rsidR="00F64FE4">
        <w:t xml:space="preserve">five </w:t>
      </w:r>
      <w:r w:rsidRPr="00DF422C">
        <w:t>GP practices</w:t>
      </w:r>
      <w:r w:rsidR="00CE2E92" w:rsidRPr="00DF422C">
        <w:t xml:space="preserve"> </w:t>
      </w:r>
      <w:r w:rsidR="00F64FE4">
        <w:t xml:space="preserve">across </w:t>
      </w:r>
      <w:r w:rsidRPr="00DF422C">
        <w:t>advantaged and disadvantaged areas</w:t>
      </w:r>
      <w:r w:rsidR="00D1225A">
        <w:t xml:space="preserve">, within which waiting </w:t>
      </w:r>
      <w:r w:rsidR="00CE2E92" w:rsidRPr="000C6D55">
        <w:t xml:space="preserve">patients </w:t>
      </w:r>
      <w:r w:rsidR="00CE2E92">
        <w:t>were invite</w:t>
      </w:r>
      <w:r w:rsidR="00D1225A">
        <w:t>d</w:t>
      </w:r>
      <w:r w:rsidR="00CE2E92">
        <w:t xml:space="preserve"> to take part.  </w:t>
      </w:r>
      <w:r w:rsidR="00685CBD">
        <w:t xml:space="preserve">Volunteers </w:t>
      </w:r>
      <w:r w:rsidR="00B12CD7">
        <w:t>were then screened by phone</w:t>
      </w:r>
      <w:r w:rsidR="00CE2E92">
        <w:t xml:space="preserve">, selecting only </w:t>
      </w:r>
      <w:r w:rsidR="00CE2E92" w:rsidRPr="000C6D55">
        <w:t xml:space="preserve">working-age individuals who had recently had a health problem that interfered with their work, and </w:t>
      </w:r>
      <w:r w:rsidR="00685CBD">
        <w:t xml:space="preserve">achieving </w:t>
      </w:r>
      <w:r w:rsidR="00DF422C">
        <w:t xml:space="preserve">balance </w:t>
      </w:r>
      <w:r w:rsidR="00685CBD">
        <w:t xml:space="preserve">according to the criteria above.  </w:t>
      </w:r>
      <w:r w:rsidR="00CE2E92">
        <w:t xml:space="preserve">In total </w:t>
      </w:r>
      <w:r w:rsidR="00CE2E92" w:rsidRPr="004C48DF">
        <w:t xml:space="preserve">341 </w:t>
      </w:r>
      <w:r w:rsidR="00DF422C">
        <w:t xml:space="preserve">people </w:t>
      </w:r>
      <w:r w:rsidR="00685CBD">
        <w:t>were approached</w:t>
      </w:r>
      <w:r w:rsidR="00CE2E92" w:rsidRPr="004C48DF">
        <w:t xml:space="preserve">, of whom 139 were successfully screened, </w:t>
      </w:r>
      <w:r w:rsidR="00CE2E92">
        <w:t>4</w:t>
      </w:r>
      <w:r w:rsidR="009A3AD5">
        <w:t>1</w:t>
      </w:r>
      <w:r w:rsidR="00CE2E92">
        <w:t xml:space="preserve"> passed, and </w:t>
      </w:r>
      <w:r w:rsidR="009A3AD5">
        <w:t>28</w:t>
      </w:r>
      <w:r w:rsidR="00CE2E92">
        <w:t xml:space="preserve"> </w:t>
      </w:r>
      <w:r w:rsidR="00CE2E92" w:rsidRPr="004C48DF">
        <w:t xml:space="preserve">interviews </w:t>
      </w:r>
      <w:r w:rsidR="00CE2E92">
        <w:t xml:space="preserve">were conducted </w:t>
      </w:r>
      <w:r w:rsidR="00623EC9">
        <w:t>(</w:t>
      </w:r>
      <w:r w:rsidR="00CE2E92" w:rsidRPr="004C48DF">
        <w:t xml:space="preserve">October 2009 </w:t>
      </w:r>
      <w:r w:rsidR="00623EC9">
        <w:t xml:space="preserve">to </w:t>
      </w:r>
      <w:r w:rsidR="00CE2E92" w:rsidRPr="004C48DF">
        <w:t>June 2010</w:t>
      </w:r>
      <w:r w:rsidR="00623EC9">
        <w:t>)</w:t>
      </w:r>
      <w:r w:rsidR="00CE2E92" w:rsidRPr="004C48DF">
        <w:t xml:space="preserve">.  While the sample was varied in most respects, it became clear that </w:t>
      </w:r>
      <w:r w:rsidR="00685CBD">
        <w:t xml:space="preserve">it contained </w:t>
      </w:r>
      <w:r w:rsidR="00CE2E92" w:rsidRPr="004C48DF">
        <w:t>relatively few incapacity claimants</w:t>
      </w:r>
      <w:r w:rsidR="00D1225A">
        <w:t xml:space="preserve">, and </w:t>
      </w:r>
      <w:r w:rsidR="00623EC9">
        <w:t xml:space="preserve">11 further claimants were obtained </w:t>
      </w:r>
      <w:r w:rsidR="00CE2E92" w:rsidRPr="004C48DF">
        <w:t>through three offices of a Welfare-to-Work provider.</w:t>
      </w:r>
    </w:p>
    <w:p w14:paraId="6B47E3A7" w14:textId="497D5CF1" w:rsidR="0063393E" w:rsidRDefault="0063393E" w:rsidP="00947E73">
      <w:pPr>
        <w:spacing w:line="480" w:lineRule="auto"/>
      </w:pPr>
      <w:r w:rsidRPr="000C6D55">
        <w:lastRenderedPageBreak/>
        <w:t xml:space="preserve">A target of around 35-45 interviews was expected to be sufficient to obtain sufficient variation </w:t>
      </w:r>
      <w:r w:rsidR="00390DAE">
        <w:fldChar w:fldCharType="begin"/>
      </w:r>
      <w:r w:rsidR="00390DAE">
        <w:instrText xml:space="preserve"> ADDIN EN.CITE &lt;EndNote&gt;&lt;Cite&gt;&lt;Author&gt;Manderbacka&lt;/Author&gt;&lt;Year&gt;1998&lt;/Year&gt;&lt;RecNum&gt;565&lt;/RecNum&gt;&lt;Suffix&gt;:320&lt;/Suffix&gt;&lt;DisplayText&gt;(Manderbacka 1998:320)&lt;/DisplayText&gt;&lt;record&gt;&lt;rec-number&gt;565&lt;/rec-number&gt;&lt;foreign-keys&gt;&lt;key app="EN" db-id="0r2ffr5x6st05beff5rper2ax9sw5d9w0vzp" timestamp="0"&gt;565&lt;/key&gt;&lt;/foreign-keys&gt;&lt;ref-type name="Journal Article"&gt;17&lt;/ref-type&gt;&lt;contributors&gt;&lt;authors&gt;&lt;author&gt;Manderbacka,Kristina&lt;/author&gt;&lt;/authors&gt;&lt;/contributors&gt;&lt;titles&gt;&lt;title&gt;How do respondents understand survey questions on ill-health?&lt;/title&gt;&lt;secondary-title&gt;European Journal of Public Health&lt;/secondary-title&gt;&lt;/titles&gt;&lt;periodical&gt;&lt;full-title&gt;European Journal of Public Health&lt;/full-title&gt;&lt;/periodical&gt;&lt;pages&gt;319-324&lt;/pages&gt;&lt;volume&gt;8&lt;/volume&gt;&lt;number&gt;4&lt;/number&gt;&lt;keywords&gt;&lt;keyword&gt;methodology - CogInt&lt;/keyword&gt;&lt;/keywords&gt;&lt;dates&gt;&lt;year&gt;1998&lt;/year&gt;&lt;/dates&gt;&lt;urls&gt;&lt;related-urls&gt;&lt;url&gt;http://eurpub.oxfordjournals.org/cgi/reprint/8/4/319&lt;/url&gt;&lt;/related-urls&gt;&lt;/urls&gt;&lt;custom1&gt;Read&lt;/custom1&gt;&lt;custom3&gt;Finland&lt;/custom3&gt;&lt;research-notes&gt;&lt;style face="normal" font="default" size="100%"&gt;42 interviews from participants in a large-scale Finnish survey; reached saturation&amp;#xD;Used CogInt, i.e. direct probes, as well as &amp;apos;how would you describe your health status in your own words&amp;apos;&amp;#xD;&lt;/style&gt;&lt;style face="bold" font="default" size="100%"&gt;PROBLEMS:&lt;/style&gt;&lt;style face="normal" font="default" size="100%"&gt; no-one with LLSI, no-one with mental health problems&lt;/style&gt;&lt;/research-notes&gt;&lt;/record&gt;&lt;/Cite&gt;&lt;/EndNote&gt;</w:instrText>
      </w:r>
      <w:r w:rsidR="00390DAE">
        <w:fldChar w:fldCharType="separate"/>
      </w:r>
      <w:r w:rsidR="00390DAE">
        <w:rPr>
          <w:noProof/>
        </w:rPr>
        <w:t>(</w:t>
      </w:r>
      <w:hyperlink w:anchor="_ENREF_27" w:tooltip="Manderbacka, 1998 #565" w:history="1">
        <w:r w:rsidR="003242B5">
          <w:rPr>
            <w:noProof/>
          </w:rPr>
          <w:t>Manderbacka 1998:320</w:t>
        </w:r>
      </w:hyperlink>
      <w:r w:rsidR="00390DAE">
        <w:rPr>
          <w:noProof/>
        </w:rPr>
        <w:t>)</w:t>
      </w:r>
      <w:r w:rsidR="00390DAE">
        <w:fldChar w:fldCharType="end"/>
      </w:r>
      <w:r w:rsidR="00D1225A">
        <w:t>, but</w:t>
      </w:r>
      <w:r w:rsidR="00E87C2C">
        <w:t xml:space="preserve"> </w:t>
      </w:r>
      <w:r w:rsidR="00D1225A">
        <w:t xml:space="preserve">this </w:t>
      </w:r>
      <w:r w:rsidRPr="000C6D55">
        <w:t xml:space="preserve">‘saturation’ </w:t>
      </w:r>
      <w:r w:rsidR="00E87C2C">
        <w:t>was actually reached at a slightly earlier point, and the analyses below are based on 32 interviews.</w:t>
      </w:r>
      <w:r w:rsidR="00390DAE" w:rsidRPr="00390DAE">
        <w:rPr>
          <w:vertAlign w:val="superscript"/>
        </w:rPr>
        <w:t>3</w:t>
      </w:r>
      <w:r w:rsidR="00E87C2C" w:rsidRPr="008478C9">
        <w:t xml:space="preserve"> </w:t>
      </w:r>
      <w:r w:rsidR="00B12CD7">
        <w:t xml:space="preserve"> T</w:t>
      </w:r>
      <w:r w:rsidRPr="00E45012">
        <w:t>his</w:t>
      </w:r>
      <w:r w:rsidRPr="00ED2239">
        <w:t xml:space="preserve"> resulted in a sample that was varied in </w:t>
      </w:r>
      <w:r w:rsidR="00B12CD7">
        <w:t>all key respects (see table 1)</w:t>
      </w:r>
      <w:r w:rsidR="009A3AD5">
        <w:t xml:space="preserve">; and also </w:t>
      </w:r>
      <w:r w:rsidR="00B12CD7">
        <w:t xml:space="preserve">by </w:t>
      </w:r>
      <w:r w:rsidRPr="00ED2239">
        <w:t>type of work (</w:t>
      </w:r>
      <w:r w:rsidR="007F168F">
        <w:t xml:space="preserve">see </w:t>
      </w:r>
      <w:r w:rsidR="00390DAE">
        <w:t>s</w:t>
      </w:r>
      <w:r w:rsidR="009A3AD5">
        <w:t xml:space="preserve">upplementary </w:t>
      </w:r>
      <w:r w:rsidR="00390DAE">
        <w:t>t</w:t>
      </w:r>
      <w:r w:rsidR="00E87C2C">
        <w:t xml:space="preserve">able </w:t>
      </w:r>
      <w:r w:rsidR="00F64FE4">
        <w:t>A</w:t>
      </w:r>
      <w:r w:rsidR="00390DAE">
        <w:t>2</w:t>
      </w:r>
      <w:r w:rsidRPr="004C48DF">
        <w:t xml:space="preserve">).  </w:t>
      </w:r>
    </w:p>
    <w:p w14:paraId="3FF565F8" w14:textId="77777777" w:rsidR="00E87C2C" w:rsidRPr="00E87C2C" w:rsidRDefault="00E87C2C" w:rsidP="00947E73">
      <w:pPr>
        <w:spacing w:line="480" w:lineRule="auto"/>
        <w:jc w:val="center"/>
        <w:rPr>
          <w:b/>
        </w:rPr>
      </w:pPr>
      <w:r>
        <w:rPr>
          <w:b/>
        </w:rPr>
        <w:t>Table 1 about here</w:t>
      </w:r>
    </w:p>
    <w:p w14:paraId="262510D8" w14:textId="67852D7C" w:rsidR="00CC7E2E" w:rsidRDefault="004B61B8" w:rsidP="00947E73">
      <w:pPr>
        <w:spacing w:line="480" w:lineRule="auto"/>
      </w:pPr>
      <w:r>
        <w:t xml:space="preserve">The interviews focused on </w:t>
      </w:r>
      <w:r w:rsidR="00C04546">
        <w:t xml:space="preserve">the extent to which impairments led to problems with fitness-for-work in a previous job and the options that people then had available, based on respondents’ descriptions of their impairments </w:t>
      </w:r>
      <w:r>
        <w:t xml:space="preserve">(see below).  </w:t>
      </w:r>
      <w:r w:rsidR="00685CBD">
        <w:t>D</w:t>
      </w:r>
      <w:r w:rsidR="0063393E" w:rsidRPr="004C48DF">
        <w:t>epth interviews</w:t>
      </w:r>
      <w:r w:rsidR="00CC7E2E">
        <w:t xml:space="preserve"> </w:t>
      </w:r>
      <w:r w:rsidR="00685CBD">
        <w:t xml:space="preserve">were chosen </w:t>
      </w:r>
      <w:r w:rsidR="0063393E" w:rsidRPr="004C48DF">
        <w:t xml:space="preserve">to investigate individual narratives and </w:t>
      </w:r>
      <w:r w:rsidR="00934AE0">
        <w:t>minimiz</w:t>
      </w:r>
      <w:r w:rsidR="00CC7E2E">
        <w:t xml:space="preserve">e </w:t>
      </w:r>
      <w:r w:rsidR="0063393E" w:rsidRPr="004C48DF">
        <w:t>social influence effects</w:t>
      </w:r>
      <w:r w:rsidR="009A3AD5">
        <w:t xml:space="preserve">, </w:t>
      </w:r>
      <w:r w:rsidR="00C04546">
        <w:t xml:space="preserve">using </w:t>
      </w:r>
      <w:r w:rsidR="0063393E" w:rsidRPr="004C48DF">
        <w:t xml:space="preserve">a topic guide developed through two pilot interviews.  Participants were given a choice of interview location; most were at </w:t>
      </w:r>
      <w:r w:rsidR="009A3AD5">
        <w:t xml:space="preserve">home </w:t>
      </w:r>
      <w:r w:rsidR="0063393E" w:rsidRPr="004C48DF">
        <w:t xml:space="preserve">but some were conducted in cafes/pubs, and several </w:t>
      </w:r>
      <w:r w:rsidR="0063393E" w:rsidRPr="00A3459F">
        <w:t xml:space="preserve">were conducted in a private room at </w:t>
      </w:r>
      <w:r w:rsidR="009A3AD5">
        <w:t xml:space="preserve">the </w:t>
      </w:r>
      <w:r w:rsidR="009A3AD5" w:rsidRPr="00A3459F">
        <w:t>Welfare-to-Work provider</w:t>
      </w:r>
      <w:r w:rsidR="0063393E" w:rsidRPr="00A3459F">
        <w:t>.</w:t>
      </w:r>
      <w:r w:rsidR="00CC7E2E">
        <w:t xml:space="preserve">  </w:t>
      </w:r>
      <w:r w:rsidR="00CC7E2E" w:rsidRPr="004C48DF">
        <w:t>The research received ethical approval from the</w:t>
      </w:r>
      <w:r w:rsidR="00B12CD7">
        <w:t xml:space="preserve"> LSE</w:t>
      </w:r>
      <w:r w:rsidR="00CC7E2E">
        <w:t xml:space="preserve"> </w:t>
      </w:r>
      <w:r w:rsidR="00CC7E2E" w:rsidRPr="004C48DF">
        <w:t>Ethics Committee</w:t>
      </w:r>
      <w:r w:rsidR="00CC7E2E">
        <w:t xml:space="preserve">, </w:t>
      </w:r>
      <w:r w:rsidR="00CC7E2E" w:rsidRPr="004C48DF">
        <w:t>the NHS Research Ethics Service</w:t>
      </w:r>
      <w:r w:rsidR="00B12CD7">
        <w:t xml:space="preserve"> (reference </w:t>
      </w:r>
      <w:r w:rsidR="00B12CD7" w:rsidRPr="000F5805">
        <w:t>08/H0714/110</w:t>
      </w:r>
      <w:r w:rsidR="00B12CD7">
        <w:t>)</w:t>
      </w:r>
      <w:r w:rsidR="00CC7E2E">
        <w:t>,</w:t>
      </w:r>
      <w:r w:rsidR="00CC7E2E" w:rsidRPr="000F5805">
        <w:t xml:space="preserve"> and the Research Management team within each PCT.</w:t>
      </w:r>
    </w:p>
    <w:p w14:paraId="4EF78D17" w14:textId="65CFA574" w:rsidR="00947E73" w:rsidRPr="00947E73" w:rsidRDefault="0063393E" w:rsidP="00947E73">
      <w:pPr>
        <w:spacing w:line="480" w:lineRule="auto"/>
      </w:pPr>
      <w:r w:rsidRPr="008478C9">
        <w:t>The interviews lasted 35</w:t>
      </w:r>
      <w:r w:rsidR="00F34B78">
        <w:t>-</w:t>
      </w:r>
      <w:r w:rsidRPr="008478C9">
        <w:t>135 minutes</w:t>
      </w:r>
      <w:r w:rsidR="00CC7E2E">
        <w:t xml:space="preserve">, and after transcription were analysed using a combination of thematic coding and </w:t>
      </w:r>
      <w:r w:rsidRPr="0032364A">
        <w:t xml:space="preserve">the Framework method </w:t>
      </w:r>
      <w:r w:rsidR="00390DAE">
        <w:fldChar w:fldCharType="begin"/>
      </w:r>
      <w:r w:rsidR="00390DAE">
        <w:instrText xml:space="preserve"> ADDIN EN.CITE &lt;EndNote&gt;&lt;Cite&gt;&lt;Author&gt;Ritchie&lt;/Author&gt;&lt;Year&gt;2003&lt;/Year&gt;&lt;RecNum&gt;1219&lt;/RecNum&gt;&lt;DisplayText&gt;(Ritchie and Lewis 2003)&lt;/DisplayText&gt;&lt;record&gt;&lt;rec-number&gt;1219&lt;/rec-number&gt;&lt;foreign-keys&gt;&lt;key app="EN" db-id="0r2ffr5x6st05beff5rper2ax9sw5d9w0vzp" timestamp="0"&gt;1219&lt;/key&gt;&lt;/foreign-keys&gt;&lt;ref-type name="Book"&gt;6&lt;/ref-type&gt;&lt;contributors&gt;&lt;authors&gt;&lt;author&gt;Ritchie, J&lt;/author&gt;&lt;author&gt;Lewis,J&lt;/author&gt;&lt;/authors&gt;&lt;/contributors&gt;&lt;titles&gt;&lt;title&gt;Qualitative research practice: a guide for social science students and researchers&lt;/title&gt;&lt;/titles&gt;&lt;keywords&gt;&lt;keyword&gt;methodology - qual on health&lt;/keyword&gt;&lt;/keywords&gt;&lt;dates&gt;&lt;year&gt;2003&lt;/year&gt;&lt;/dates&gt;&lt;pub-location&gt;London&lt;/pub-location&gt;&lt;publisher&gt;SAGE&lt;/publisher&gt;&lt;urls&gt;&lt;/urls&gt;&lt;custom1&gt;Read&lt;/custom1&gt;&lt;/record&gt;&lt;/Cite&gt;&lt;/EndNote&gt;</w:instrText>
      </w:r>
      <w:r w:rsidR="00390DAE">
        <w:fldChar w:fldCharType="separate"/>
      </w:r>
      <w:r w:rsidR="00390DAE">
        <w:rPr>
          <w:noProof/>
        </w:rPr>
        <w:t>(</w:t>
      </w:r>
      <w:hyperlink w:anchor="_ENREF_36" w:tooltip="Ritchie, 2003 #1219" w:history="1">
        <w:r w:rsidR="003242B5">
          <w:rPr>
            <w:noProof/>
          </w:rPr>
          <w:t>Ritchie and Lewis 2003</w:t>
        </w:r>
      </w:hyperlink>
      <w:r w:rsidR="00390DAE">
        <w:rPr>
          <w:noProof/>
        </w:rPr>
        <w:t>)</w:t>
      </w:r>
      <w:r w:rsidR="00390DAE">
        <w:fldChar w:fldCharType="end"/>
      </w:r>
      <w:r w:rsidRPr="0032364A">
        <w:t>.  This meant that a</w:t>
      </w:r>
      <w:r w:rsidR="009A3AD5">
        <w:t xml:space="preserve"> draft</w:t>
      </w:r>
      <w:r w:rsidRPr="0032364A">
        <w:t xml:space="preserve"> coding frame was developed based on previous literature and an initial subsample.  Each tra</w:t>
      </w:r>
      <w:r w:rsidRPr="004C48DF">
        <w:t>nscript was then read 2-3 times and coded in NVivo</w:t>
      </w:r>
      <w:r w:rsidR="00B1354B">
        <w:t xml:space="preserve">, before being </w:t>
      </w:r>
      <w:r w:rsidRPr="004C48DF">
        <w:t>summarised in a charting framework that covered key themes.  The final analysis used both the framework (to compare cases) and the codes (to compare themes and extract quotes)</w:t>
      </w:r>
      <w:r w:rsidR="00B1354B">
        <w:t xml:space="preserve"> to build a theoretical model linking impairment to incapacity, before examining </w:t>
      </w:r>
      <w:r w:rsidR="00B12CD7">
        <w:t xml:space="preserve">the role of education and wider socioeconomic factors in these </w:t>
      </w:r>
      <w:r w:rsidR="00B1354B">
        <w:t>pathways.</w:t>
      </w:r>
    </w:p>
    <w:p w14:paraId="19B0284C" w14:textId="77777777" w:rsidR="00D34EA5" w:rsidRDefault="00D34EA5" w:rsidP="00947E73">
      <w:pPr>
        <w:pStyle w:val="Heading1"/>
        <w:spacing w:line="480" w:lineRule="auto"/>
        <w:sectPr w:rsidR="00D34EA5" w:rsidSect="00DE16FC">
          <w:footerReference w:type="default" r:id="rId11"/>
          <w:pgSz w:w="11906" w:h="16838"/>
          <w:pgMar w:top="1440" w:right="1440" w:bottom="1440" w:left="1440" w:header="708" w:footer="708" w:gutter="0"/>
          <w:cols w:space="708"/>
          <w:docGrid w:linePitch="360"/>
        </w:sectPr>
      </w:pPr>
    </w:p>
    <w:p w14:paraId="76F6B72E" w14:textId="67CC70E3" w:rsidR="00DE16FC" w:rsidRDefault="000E0348" w:rsidP="00947E73">
      <w:pPr>
        <w:pStyle w:val="Heading1"/>
        <w:spacing w:line="480" w:lineRule="auto"/>
      </w:pPr>
      <w:r>
        <w:lastRenderedPageBreak/>
        <w:t>Results</w:t>
      </w:r>
    </w:p>
    <w:p w14:paraId="4B032255" w14:textId="0E5EF0F2" w:rsidR="00CA62D8" w:rsidRDefault="00CA62D8" w:rsidP="00947E73">
      <w:pPr>
        <w:spacing w:line="480" w:lineRule="auto"/>
      </w:pPr>
      <w:r>
        <w:t>From the outset, it was clear that people faced different levels of choices in responding to impairments</w:t>
      </w:r>
      <w:r w:rsidR="00D34EA5">
        <w:t xml:space="preserve">, and that these partly reflected </w:t>
      </w:r>
      <w:r w:rsidR="00B1354B">
        <w:t xml:space="preserve">their </w:t>
      </w:r>
      <w:r w:rsidR="00D34EA5">
        <w:t xml:space="preserve">educational level.  This is </w:t>
      </w:r>
      <w:r w:rsidR="000C4F14">
        <w:t xml:space="preserve">vividly illustrated </w:t>
      </w:r>
      <w:r>
        <w:t xml:space="preserve">when we compare Lindsey (with GCSEs) to Maryah (with a degree).  </w:t>
      </w:r>
    </w:p>
    <w:p w14:paraId="711F243B" w14:textId="23532E8A" w:rsidR="00407E2C" w:rsidRPr="005B7765" w:rsidRDefault="00407E2C" w:rsidP="00947E73">
      <w:pPr>
        <w:spacing w:line="480" w:lineRule="auto"/>
      </w:pPr>
      <w:r w:rsidRPr="005B7765">
        <w:t>Lindsey had managed her depression for many years while working in charity shops, but had been finding it increasingly difficult to cope.  She said that everyone thought her assistant manager job ‘was a doddle’, but it</w:t>
      </w:r>
      <w:r w:rsidR="008D5228">
        <w:t xml:space="preserve"> wa</w:t>
      </w:r>
      <w:r w:rsidRPr="005B7765">
        <w:t xml:space="preserve">s actually ‘very pressurised’ given the weekly targets </w:t>
      </w:r>
      <w:r w:rsidR="00B1354B">
        <w:t xml:space="preserve">from </w:t>
      </w:r>
      <w:r w:rsidRPr="005B7765">
        <w:t>management</w:t>
      </w:r>
      <w:r w:rsidR="00B1354B">
        <w:t xml:space="preserve"> </w:t>
      </w:r>
      <w:r w:rsidRPr="005B7765">
        <w:t xml:space="preserve">– and trying to speak to the employer about the workload was simply seen as ‘making excuses’.  This left a ‘vicious circle’ of pressure and depression, where she was isolating herself from friends and family.  When her otherwise understanding manager took out a bad day on her, she thought </w:t>
      </w:r>
      <w:r w:rsidRPr="005B7765">
        <w:rPr>
          <w:i/>
        </w:rPr>
        <w:t>“I just thought ' no, I can't deal with this anymore', and I just... put my notice in”</w:t>
      </w:r>
      <w:r w:rsidRPr="005B7765">
        <w:t xml:space="preserve"> – although if it had not been for this argument, she felt she could not have carried on much longer.</w:t>
      </w:r>
    </w:p>
    <w:p w14:paraId="52BDE737" w14:textId="60529A03" w:rsidR="00407E2C" w:rsidRPr="005B7765" w:rsidRDefault="00407E2C" w:rsidP="00947E73">
      <w:pPr>
        <w:spacing w:line="480" w:lineRule="auto"/>
      </w:pPr>
      <w:r w:rsidRPr="005B7765">
        <w:t xml:space="preserve">This was during the recession, and Lindsey soon realised it was a bad time to be looking for work –the ‘dole queues will be flooded with people’ looking for </w:t>
      </w:r>
      <w:r w:rsidR="00B1354B">
        <w:t>retail work</w:t>
      </w:r>
      <w:r w:rsidRPr="005B7765">
        <w:t>. Yet applying for benefits would simply have been swapping the pressure of her old job for the pressure of the Jobcentre, so she instead got by on the little savings she had.  Ten months after leaving her job her savings had run out and she ‘couldn’t see any hope’, so she took an overdose.  Her sister came as soon as she received the suicide note, took her to hospital, and later filled in the benefit application forms. By the time she participated in this study she was somewhat better and thinking about returning-to-work.  Employment in a supermarket seemed unlikely (</w:t>
      </w:r>
      <w:r w:rsidR="008D5228">
        <w:t xml:space="preserve">an </w:t>
      </w:r>
      <w:r w:rsidRPr="005B7765">
        <w:t>occupational health assessor had concerns about her ability to cope), but she had been doing a small amount of permitted work in a dry cleaners, who she felt were unusually understanding.</w:t>
      </w:r>
    </w:p>
    <w:p w14:paraId="5A5C0584" w14:textId="77777777" w:rsidR="00407E2C" w:rsidRPr="005B7765" w:rsidRDefault="00407E2C" w:rsidP="00947E73">
      <w:pPr>
        <w:spacing w:line="480" w:lineRule="auto"/>
      </w:pPr>
      <w:r w:rsidRPr="005B7765">
        <w:lastRenderedPageBreak/>
        <w:t>Maryah also suffered from ‘stress’, but in nearly every other way her experiences were different.  She was a marketing director for a global cosmetics firm in a job she described as ‘un-doable’, being responsible for 16 countries across Europe, which she juggled with being a single mother.  While loving the challenge, in the last six months of this job she began to struggle:</w:t>
      </w:r>
    </w:p>
    <w:p w14:paraId="174C7F4F" w14:textId="739A97D3" w:rsidR="00407E2C" w:rsidRPr="005B7765" w:rsidRDefault="00407E2C" w:rsidP="00947E73">
      <w:pPr>
        <w:spacing w:line="480" w:lineRule="auto"/>
        <w:ind w:left="720"/>
        <w:rPr>
          <w:i/>
        </w:rPr>
      </w:pPr>
      <w:r w:rsidRPr="005B7765">
        <w:rPr>
          <w:i/>
        </w:rPr>
        <w:t>“I was waking up every morning at 4 o’clock, just bad dreams, being on fire alive or jumping off a high tower or whatever. It was clearly stress-related.”</w:t>
      </w:r>
    </w:p>
    <w:p w14:paraId="6CBCB1D1" w14:textId="5AC0CE4D" w:rsidR="00407E2C" w:rsidRDefault="00407E2C" w:rsidP="00947E73">
      <w:pPr>
        <w:spacing w:line="480" w:lineRule="auto"/>
      </w:pPr>
      <w:r>
        <w:t xml:space="preserve">When her child therapist said her daughter’s problems were related to her stress, she decided to change job.  She felt that </w:t>
      </w:r>
      <w:r w:rsidR="00C56A63">
        <w:t xml:space="preserve">reducing the stress of </w:t>
      </w:r>
      <w:r>
        <w:t xml:space="preserve">her existing job was impossible – </w:t>
      </w:r>
      <w:r w:rsidRPr="00F17067">
        <w:rPr>
          <w:i/>
        </w:rPr>
        <w:t xml:space="preserve">“if </w:t>
      </w:r>
      <w:r w:rsidR="00C56A63">
        <w:rPr>
          <w:i/>
        </w:rPr>
        <w:t>[</w:t>
      </w:r>
      <w:r w:rsidR="00CA62D8">
        <w:rPr>
          <w:i/>
        </w:rPr>
        <w:t xml:space="preserve">a </w:t>
      </w:r>
      <w:r w:rsidR="00C56A63">
        <w:rPr>
          <w:i/>
        </w:rPr>
        <w:t xml:space="preserve">boss] </w:t>
      </w:r>
      <w:r w:rsidRPr="00F17067">
        <w:rPr>
          <w:i/>
        </w:rPr>
        <w:t>sees that you have been doing the job for a year without an extra assistant or manager, why get one?”</w:t>
      </w:r>
      <w:r>
        <w:t xml:space="preserve"> – but instead told her boss that she ‘wants out’.  She moved to a less-stressful job with the same company, but this was less satisfying and she ultimately negotiated a leaving package before having another child</w:t>
      </w:r>
      <w:r w:rsidR="00C56A63">
        <w:t xml:space="preserve"> with a new partner</w:t>
      </w:r>
      <w:r>
        <w:t xml:space="preserve">.  At the time of our interview she was looking to work again but was avoiding stressful jobs after the ‘permanent damage’ inflicted by her old job.  With her contacts, money and skills she was thinking of various types of self-employment, </w:t>
      </w:r>
      <w:r w:rsidR="006F6877">
        <w:t xml:space="preserve">some of which </w:t>
      </w:r>
      <w:r w:rsidR="00B1354B">
        <w:t xml:space="preserve">thought </w:t>
      </w:r>
      <w:r w:rsidR="00B1354B" w:rsidRPr="006F6877">
        <w:t>would be ‘</w:t>
      </w:r>
      <w:r w:rsidR="006F6877" w:rsidRPr="006F6877">
        <w:t xml:space="preserve">really </w:t>
      </w:r>
      <w:r w:rsidR="00B1354B" w:rsidRPr="006F6877">
        <w:t xml:space="preserve">easy’ to </w:t>
      </w:r>
      <w:r w:rsidR="006F6877" w:rsidRPr="006F6877">
        <w:t>achieve</w:t>
      </w:r>
      <w:r w:rsidR="00B1354B" w:rsidRPr="006F6877">
        <w:t>.</w:t>
      </w:r>
    </w:p>
    <w:p w14:paraId="38E53547" w14:textId="51EA0542" w:rsidR="00CA62D8" w:rsidRDefault="00CA62D8" w:rsidP="00947E73">
      <w:pPr>
        <w:spacing w:line="480" w:lineRule="auto"/>
      </w:pPr>
      <w:r>
        <w:t>While t</w:t>
      </w:r>
      <w:r w:rsidR="00407E2C">
        <w:t>here are obvious similarities in these two stories</w:t>
      </w:r>
      <w:r>
        <w:t xml:space="preserve"> –</w:t>
      </w:r>
      <w:r w:rsidR="00B1354B">
        <w:t xml:space="preserve"> </w:t>
      </w:r>
      <w:r>
        <w:t>they are both people dealing with stress at work</w:t>
      </w:r>
      <w:r w:rsidR="00D34EA5">
        <w:t xml:space="preserve">, </w:t>
      </w:r>
      <w:r w:rsidR="00B1354B">
        <w:t xml:space="preserve">albeit </w:t>
      </w:r>
      <w:r w:rsidR="00D34EA5">
        <w:t>of different kinds</w:t>
      </w:r>
      <w:r>
        <w:t xml:space="preserve"> – the options available to them were very different.  </w:t>
      </w:r>
      <w:r w:rsidR="00523C07">
        <w:t xml:space="preserve">But how can we </w:t>
      </w:r>
      <w:r w:rsidR="00B1354B">
        <w:t xml:space="preserve">understand </w:t>
      </w:r>
      <w:r w:rsidR="00523C07">
        <w:t xml:space="preserve">these differences?  </w:t>
      </w:r>
      <w:r>
        <w:t xml:space="preserve">To </w:t>
      </w:r>
      <w:r w:rsidR="00B1354B">
        <w:t>theori</w:t>
      </w:r>
      <w:r w:rsidR="00934AE0">
        <w:t>z</w:t>
      </w:r>
      <w:r w:rsidR="00B1354B">
        <w:t xml:space="preserve">e </w:t>
      </w:r>
      <w:r w:rsidR="006866B3">
        <w:t>what is happening</w:t>
      </w:r>
      <w:r w:rsidR="00523C07">
        <w:t xml:space="preserve"> more systematically</w:t>
      </w:r>
      <w:r>
        <w:t xml:space="preserve">, we need to </w:t>
      </w:r>
      <w:r w:rsidR="006866B3">
        <w:t xml:space="preserve">break apart </w:t>
      </w:r>
      <w:r w:rsidR="00523C07">
        <w:t xml:space="preserve">this </w:t>
      </w:r>
      <w:r>
        <w:t xml:space="preserve">complexity into </w:t>
      </w:r>
      <w:r w:rsidR="00523C07">
        <w:t xml:space="preserve">several different </w:t>
      </w:r>
      <w:r w:rsidR="006866B3">
        <w:t>responses to workplace impairments</w:t>
      </w:r>
      <w:r w:rsidR="00B1354B">
        <w:t>, of which there seemed to be three</w:t>
      </w:r>
      <w:r w:rsidR="00A03473" w:rsidRPr="00A03473">
        <w:t xml:space="preserve"> </w:t>
      </w:r>
      <w:r w:rsidR="00A03473">
        <w:t>that span the diversity of the previous literatures</w:t>
      </w:r>
      <w:r w:rsidR="00B1354B">
        <w:t xml:space="preserve">: </w:t>
      </w:r>
      <w:r w:rsidR="006866B3">
        <w:t>flexibility, employer adjustments, and changing job</w:t>
      </w:r>
      <w:r w:rsidR="00B1354B">
        <w:t>.</w:t>
      </w:r>
    </w:p>
    <w:p w14:paraId="10C3101D" w14:textId="77777777" w:rsidR="006866B3" w:rsidRDefault="006866B3" w:rsidP="00947E73">
      <w:pPr>
        <w:spacing w:line="480" w:lineRule="auto"/>
      </w:pPr>
    </w:p>
    <w:p w14:paraId="75DCAD29" w14:textId="30C934AF" w:rsidR="00DE16FC" w:rsidRDefault="00B1354B" w:rsidP="00947E73">
      <w:pPr>
        <w:pStyle w:val="Heading3"/>
        <w:spacing w:line="480" w:lineRule="auto"/>
      </w:pPr>
      <w:r>
        <w:lastRenderedPageBreak/>
        <w:t>Using flexibility</w:t>
      </w:r>
    </w:p>
    <w:p w14:paraId="64AD1D2E" w14:textId="256168CA" w:rsidR="00523C07" w:rsidRDefault="00523C07" w:rsidP="00947E73">
      <w:pPr>
        <w:spacing w:line="480" w:lineRule="auto"/>
      </w:pPr>
      <w:r>
        <w:t xml:space="preserve">The quickest and most straightforward response to a fitness-for-work limitation was for workers to change their work themselves to fit around it, if they had sufficient autonomy </w:t>
      </w:r>
      <w:r w:rsidR="00390DAE">
        <w:fldChar w:fldCharType="begin"/>
      </w:r>
      <w:r w:rsidR="00390DAE">
        <w:instrText xml:space="preserve"> ADDIN EN.CITE &lt;EndNote&gt;&lt;Cite&gt;&lt;Author&gt;Sainsbury&lt;/Author&gt;&lt;Year&gt;2008&lt;/Year&gt;&lt;RecNum&gt;731&lt;/RecNum&gt;&lt;Suffix&gt;:134&lt;/Suffix&gt;&lt;DisplayText&gt;(Sainsbury et al. 2008:134)&lt;/DisplayText&gt;&lt;record&gt;&lt;rec-number&gt;731&lt;/rec-number&gt;&lt;foreign-keys&gt;&lt;key app="EN" db-id="0r2ffr5x6st05beff5rper2ax9sw5d9w0vzp" timestamp="0"&gt;731&lt;/key&gt;&lt;/foreign-keys&gt;&lt;ref-type name="Report"&gt;27&lt;/ref-type&gt;&lt;contributors&gt;&lt;authors&gt;&lt;author&gt;Roy Sainsbury&lt;/author&gt;&lt;author&gt;Annie Irvine&lt;/author&gt;&lt;author&gt;Jane Aston&lt;/author&gt;&lt;author&gt;Sally Wilson&lt;/author&gt;&lt;author&gt;Ceri Williams&lt;/author&gt;&lt;author&gt;Alice Sinclair&lt;/author&gt;&lt;/authors&gt;&lt;/contributors&gt;&lt;titles&gt;&lt;title&gt;Mental health and employment&lt;/title&gt;&lt;secondary-title&gt;Department for Work and Pensions Research Report No 513&lt;/secondary-title&gt;&lt;/titles&gt;&lt;dates&gt;&lt;year&gt;2008&lt;/year&gt;&lt;/dates&gt;&lt;urls&gt;&lt;related-urls&gt;&lt;url&gt;http://193.129.121.133/asd/asd5/rports2007-2008/rrep513.pdf [accessed 16/6/2011]&lt;/url&gt;&lt;/related-urls&gt;&lt;/urls&gt;&lt;custom1&gt;Read&lt;/custom1&gt;&lt;/record&gt;&lt;/Cite&gt;&lt;/EndNote&gt;</w:instrText>
      </w:r>
      <w:r w:rsidR="00390DAE">
        <w:fldChar w:fldCharType="separate"/>
      </w:r>
      <w:r w:rsidR="00390DAE">
        <w:rPr>
          <w:noProof/>
        </w:rPr>
        <w:t>(</w:t>
      </w:r>
      <w:hyperlink w:anchor="_ENREF_38" w:tooltip="Sainsbury, 2008 #731" w:history="1">
        <w:r w:rsidR="003242B5">
          <w:rPr>
            <w:noProof/>
          </w:rPr>
          <w:t>Sainsbury et al. 2008:134</w:t>
        </w:r>
      </w:hyperlink>
      <w:r w:rsidR="00390DAE">
        <w:rPr>
          <w:noProof/>
        </w:rPr>
        <w:t>)</w:t>
      </w:r>
      <w:r w:rsidR="00390DAE">
        <w:fldChar w:fldCharType="end"/>
      </w:r>
      <w:r w:rsidR="001347F4">
        <w:t xml:space="preserve">.  </w:t>
      </w:r>
      <w:r w:rsidR="00B44912">
        <w:t xml:space="preserve">Workplace autonomy is a complex concept </w:t>
      </w:r>
      <w:r w:rsidR="003242B5">
        <w:fldChar w:fldCharType="begin"/>
      </w:r>
      <w:r w:rsidR="003242B5">
        <w:instrText xml:space="preserve"> ADDIN EN.CITE &lt;EndNote&gt;&lt;Cite&gt;&lt;Author&gt;Hodgson&lt;/Author&gt;&lt;Year&gt;2004&lt;/Year&gt;&lt;RecNum&gt;1731&lt;/RecNum&gt;&lt;DisplayText&gt;(Hodgson 2004)&lt;/DisplayText&gt;&lt;record&gt;&lt;rec-number&gt;1731&lt;/rec-number&gt;&lt;foreign-keys&gt;&lt;key app="EN" db-id="0r2ffr5x6st05beff5rper2ax9sw5d9w0vzp" timestamp="1409064127"&gt;1731&lt;/key&gt;&lt;/foreign-keys&gt;&lt;ref-type name="Journal Article"&gt;17&lt;/ref-type&gt;&lt;contributors&gt;&lt;authors&gt;&lt;author&gt;Hodgson, Damian E.&lt;/author&gt;&lt;/authors&gt;&lt;/contributors&gt;&lt;titles&gt;&lt;title&gt;Project Work: The Legacy of Bureaucratic Control in the Post-Bureaucratic Organization&lt;/title&gt;&lt;secondary-title&gt;Organization&lt;/secondary-title&gt;&lt;/titles&gt;&lt;periodical&gt;&lt;full-title&gt;Organization&lt;/full-title&gt;&lt;/periodical&gt;&lt;pages&gt;81-100&lt;/pages&gt;&lt;volume&gt;11&lt;/volume&gt;&lt;number&gt;1&lt;/number&gt;&lt;dates&gt;&lt;year&gt;2004&lt;/year&gt;&lt;pub-dates&gt;&lt;date&gt;January 1, 2004&lt;/date&gt;&lt;/pub-dates&gt;&lt;/dates&gt;&lt;urls&gt;&lt;related-urls&gt;&lt;url&gt;http://org.sagepub.com/content/11/1/81.abstract&lt;/url&gt;&lt;/related-urls&gt;&lt;/urls&gt;&lt;electronic-resource-num&gt;10.1177/1350508404039659&lt;/electronic-resource-num&gt;&lt;/record&gt;&lt;/Cite&gt;&lt;/EndNote&gt;</w:instrText>
      </w:r>
      <w:r w:rsidR="003242B5">
        <w:fldChar w:fldCharType="separate"/>
      </w:r>
      <w:r w:rsidR="003242B5">
        <w:rPr>
          <w:noProof/>
        </w:rPr>
        <w:t>(</w:t>
      </w:r>
      <w:hyperlink w:anchor="_ENREF_15" w:tooltip="Hodgson, 2004 #1731" w:history="1">
        <w:r w:rsidR="003242B5">
          <w:rPr>
            <w:noProof/>
          </w:rPr>
          <w:t>Hodgson 2004</w:t>
        </w:r>
      </w:hyperlink>
      <w:r w:rsidR="003242B5">
        <w:rPr>
          <w:noProof/>
        </w:rPr>
        <w:t>)</w:t>
      </w:r>
      <w:r w:rsidR="003242B5">
        <w:fldChar w:fldCharType="end"/>
      </w:r>
      <w:r w:rsidR="00B44912">
        <w:t xml:space="preserve">: irrespective of people’s meaningful levels of control over their work, </w:t>
      </w:r>
      <w:r>
        <w:t xml:space="preserve">what was crucial </w:t>
      </w:r>
      <w:r w:rsidR="00B44912">
        <w:t xml:space="preserve">here </w:t>
      </w:r>
      <w:r>
        <w:t xml:space="preserve">was whether people had the right sort </w:t>
      </w:r>
      <w:r w:rsidR="00B44912">
        <w:t xml:space="preserve">of flexibility for </w:t>
      </w:r>
      <w:r>
        <w:t xml:space="preserve">their impairments.  </w:t>
      </w:r>
      <w:r w:rsidR="00AC300E">
        <w:t>F</w:t>
      </w:r>
      <w:r>
        <w:t>or example, Cheryl’s office job enabled her to get up and stretch her back whenever she wanted</w:t>
      </w:r>
      <w:r w:rsidR="006C40E3">
        <w:t xml:space="preserve"> – something that was simply not available to Khaled as a bus driver, causing </w:t>
      </w:r>
      <w:r w:rsidR="00B12CD7">
        <w:t xml:space="preserve">him </w:t>
      </w:r>
      <w:r w:rsidR="006C40E3">
        <w:t>considerable pain (</w:t>
      </w:r>
      <w:r w:rsidR="00B1354B">
        <w:t xml:space="preserve">see </w:t>
      </w:r>
      <w:r w:rsidR="006C40E3">
        <w:t>below).</w:t>
      </w:r>
    </w:p>
    <w:p w14:paraId="2DEBEC57" w14:textId="25346345" w:rsidR="00443EE0" w:rsidRDefault="006C40E3" w:rsidP="00947E73">
      <w:pPr>
        <w:spacing w:line="480" w:lineRule="auto"/>
      </w:pPr>
      <w:r>
        <w:t xml:space="preserve">One form of flexibility that was particularly important was what </w:t>
      </w:r>
      <w:r w:rsidR="001347F4" w:rsidRPr="004C48DF">
        <w:t xml:space="preserve">Johansson et al </w:t>
      </w:r>
      <w:r w:rsidR="00390DAE">
        <w:fldChar w:fldCharType="begin"/>
      </w:r>
      <w:r w:rsidR="00390DAE">
        <w:instrText xml:space="preserve"> ADDIN EN.CITE &lt;EndNote&gt;&lt;Cite ExcludeAuth="1"&gt;&lt;Author&gt;Johansson&lt;/Author&gt;&lt;Year&gt;2004&lt;/Year&gt;&lt;RecNum&gt;1204&lt;/RecNum&gt;&lt;Suffix&gt;:1859&lt;/Suffix&gt;&lt;DisplayText&gt;(2004:1859)&lt;/DisplayText&gt;&lt;record&gt;&lt;rec-number&gt;1204&lt;/rec-number&gt;&lt;foreign-keys&gt;&lt;key app="EN" db-id="0r2ffr5x6st05beff5rper2ax9sw5d9w0vzp" timestamp="0"&gt;1204&lt;/key&gt;&lt;/foreign-keys&gt;&lt;ref-type name="Journal Article"&gt;17&lt;/ref-type&gt;&lt;contributors&gt;&lt;authors&gt;&lt;author&gt;Gun Johansson&lt;/author&gt;&lt;author&gt;Ingvar Lundberg&lt;/author&gt;&lt;/authors&gt;&lt;/contributors&gt;&lt;titles&gt;&lt;title&gt;Adjustment latitude and attendance requirements as determinants of sickness absence or attendance. Empirical tests of the illness flexibility model&lt;/title&gt;&lt;secondary-title&gt;Social Science &amp;amp; Medicine&lt;/secondary-title&gt;&lt;/titles&gt;&lt;periodical&gt;&lt;full-title&gt;Social Science &amp;amp; Medicine&lt;/full-title&gt;&lt;/periodical&gt;&lt;pages&gt;1857-1868&lt;/pages&gt;&lt;volume&gt;58&lt;/volume&gt;&lt;dates&gt;&lt;year&gt;2004&lt;/year&gt;&lt;/dates&gt;&lt;urls&gt;&lt;related-urls&gt;&lt;url&gt;http://dx.doi.org/10.1016/S0277-9536(03)00407-6&lt;/url&gt;&lt;/related-urls&gt;&lt;/urls&gt;&lt;custom1&gt;Read&lt;/custom1&gt;&lt;/record&gt;&lt;/Cite&gt;&lt;/EndNote&gt;</w:instrText>
      </w:r>
      <w:r w:rsidR="00390DAE">
        <w:fldChar w:fldCharType="separate"/>
      </w:r>
      <w:r w:rsidR="00390DAE">
        <w:rPr>
          <w:noProof/>
        </w:rPr>
        <w:t>(</w:t>
      </w:r>
      <w:hyperlink w:anchor="_ENREF_18" w:tooltip="Johansson, 2004 #1204" w:history="1">
        <w:r w:rsidR="003242B5">
          <w:rPr>
            <w:noProof/>
          </w:rPr>
          <w:t>2004:1859</w:t>
        </w:r>
      </w:hyperlink>
      <w:r w:rsidR="00390DAE">
        <w:rPr>
          <w:noProof/>
        </w:rPr>
        <w:t>)</w:t>
      </w:r>
      <w:r w:rsidR="00390DAE">
        <w:fldChar w:fldCharType="end"/>
      </w:r>
      <w:r w:rsidR="001347F4" w:rsidRPr="004C48DF">
        <w:t xml:space="preserve"> </w:t>
      </w:r>
      <w:r w:rsidR="00523C07">
        <w:t xml:space="preserve">call </w:t>
      </w:r>
      <w:r w:rsidR="001347F4" w:rsidRPr="00523C07">
        <w:t>‘adjustment latitude’</w:t>
      </w:r>
      <w:r>
        <w:t xml:space="preserve">: </w:t>
      </w:r>
      <w:r w:rsidR="001347F4" w:rsidRPr="004C48DF">
        <w:rPr>
          <w:i/>
        </w:rPr>
        <w:t>“the opportunity people have to reduce or in other ways alter their wo</w:t>
      </w:r>
      <w:r w:rsidR="00523C07">
        <w:rPr>
          <w:i/>
        </w:rPr>
        <w:t>rk effort when e.g. feeling ill</w:t>
      </w:r>
      <w:r w:rsidR="001347F4" w:rsidRPr="004C48DF">
        <w:rPr>
          <w:i/>
        </w:rPr>
        <w:t>”</w:t>
      </w:r>
      <w:r w:rsidR="00523C07">
        <w:rPr>
          <w:i/>
        </w:rPr>
        <w:t xml:space="preserve"> </w:t>
      </w:r>
      <w:r w:rsidR="00390DAE">
        <w:fldChar w:fldCharType="begin"/>
      </w:r>
      <w:r w:rsidR="00390DAE">
        <w:instrText xml:space="preserve"> ADDIN EN.CITE &lt;EndNote&gt;&lt;Cite&gt;&lt;Author&gt;Gewurtz&lt;/Author&gt;&lt;Year&gt;2009&lt;/Year&gt;&lt;RecNum&gt;1009&lt;/RecNum&gt;&lt;Prefix&gt;see also &lt;/Prefix&gt;&lt;Suffix&gt;:40&lt;/Suffix&gt;&lt;DisplayText&gt;(see also Gewurtz and Kirs 2009:40)&lt;/DisplayText&gt;&lt;record&gt;&lt;rec-number&gt;1009&lt;/rec-number&gt;&lt;foreign-keys&gt;&lt;key app="EN" db-id="0r2ffr5x6st05beff5rper2ax9sw5d9w0vzp" timestamp="0"&gt;1009&lt;/key&gt;&lt;/foreign-keys&gt;&lt;ref-type name="Journal Article"&gt;17&lt;/ref-type&gt;&lt;contributors&gt;&lt;authors&gt;&lt;author&gt;Rebecca Gewurtz&lt;/author&gt;&lt;author&gt;Bonnie Kirs&lt;/author&gt;&lt;/authors&gt;&lt;/contributors&gt;&lt;titles&gt;&lt;title&gt;Disruption, disbelief and resistance: A meta-synthesis of disability in the workplace &lt;/title&gt;&lt;secondary-title&gt;Work&lt;/secondary-title&gt;&lt;/titles&gt;&lt;periodical&gt;&lt;full-title&gt;Work&lt;/full-title&gt;&lt;/periodical&gt;&lt;pages&gt;33-44&lt;/pages&gt;&lt;volume&gt;34&lt;/volume&gt;&lt;number&gt;1&lt;/number&gt;&lt;keywords&gt;&lt;keyword&gt;job control&lt;/keyword&gt;&lt;keyword&gt;job tasks&lt;/keyword&gt;&lt;keyword&gt;job demands&lt;/keyword&gt;&lt;keyword&gt;methodology - qual on health&lt;/keyword&gt;&lt;/keywords&gt;&lt;dates&gt;&lt;year&gt;2009&lt;/year&gt;&lt;/dates&gt;&lt;urls&gt;&lt;related-urls&gt;&lt;url&gt;http://dx.doi.org/10.3233/WOR-2009-0900&lt;/url&gt;&lt;/related-urls&gt;&lt;/urls&gt;&lt;custom1&gt;Read&lt;/custom1&gt;&lt;research-notes&gt;Method - studies 1995-2006, about the experiences of persons with disabilities in the workplace, had some discussion of organizational culture (shared values, beliefs and expectations), and used recognizable quali method. They only kept 7 studies though.&lt;/research-notes&gt;&lt;/record&gt;&lt;/Cite&gt;&lt;/EndNote&gt;</w:instrText>
      </w:r>
      <w:r w:rsidR="00390DAE">
        <w:fldChar w:fldCharType="separate"/>
      </w:r>
      <w:r w:rsidR="00390DAE">
        <w:rPr>
          <w:noProof/>
        </w:rPr>
        <w:t>(</w:t>
      </w:r>
      <w:hyperlink w:anchor="_ENREF_10" w:tooltip="Gewurtz, 2009 #1009" w:history="1">
        <w:r w:rsidR="003242B5">
          <w:rPr>
            <w:noProof/>
          </w:rPr>
          <w:t>see also Gewurtz and Kirs 2009:40</w:t>
        </w:r>
      </w:hyperlink>
      <w:r w:rsidR="00390DAE">
        <w:rPr>
          <w:noProof/>
        </w:rPr>
        <w:t>)</w:t>
      </w:r>
      <w:r w:rsidR="00390DAE">
        <w:fldChar w:fldCharType="end"/>
      </w:r>
      <w:r w:rsidR="00523C07" w:rsidRPr="000F5805">
        <w:t>.</w:t>
      </w:r>
      <w:r w:rsidR="00523C07">
        <w:t xml:space="preserve"> </w:t>
      </w:r>
      <w:r>
        <w:t xml:space="preserve"> This enabled people with fluctuating conditions to </w:t>
      </w:r>
      <w:r w:rsidR="003B265B">
        <w:t xml:space="preserve">alter </w:t>
      </w:r>
      <w:r w:rsidR="00B12CD7">
        <w:t xml:space="preserve">the order or pace of their work </w:t>
      </w:r>
      <w:r w:rsidR="00FB23E2">
        <w:t xml:space="preserve">to reflect their moment-to-moment abilities, </w:t>
      </w:r>
      <w:r w:rsidR="004036EB">
        <w:t>as Yvette explained</w:t>
      </w:r>
      <w:r>
        <w:t xml:space="preserve"> for her auditing job</w:t>
      </w:r>
      <w:r w:rsidR="004036EB">
        <w:t>:</w:t>
      </w:r>
    </w:p>
    <w:p w14:paraId="4ED6958E" w14:textId="40593213" w:rsidR="00A562F4" w:rsidRDefault="00443EE0" w:rsidP="00947E73">
      <w:pPr>
        <w:spacing w:line="480" w:lineRule="auto"/>
        <w:ind w:left="720"/>
        <w:rPr>
          <w:i/>
        </w:rPr>
      </w:pPr>
      <w:r w:rsidRPr="00443EE0">
        <w:rPr>
          <w:i/>
        </w:rPr>
        <w:t>“</w:t>
      </w:r>
      <w:r w:rsidR="006C40E3">
        <w:rPr>
          <w:i/>
        </w:rPr>
        <w:t>‘</w:t>
      </w:r>
      <w:r w:rsidR="001D4A1D" w:rsidRPr="001D4A1D">
        <w:rPr>
          <w:i/>
        </w:rPr>
        <w:t>Do I work as quickly when I’m in a lot of pain</w:t>
      </w:r>
      <w:r w:rsidR="001D4A1D">
        <w:rPr>
          <w:i/>
        </w:rPr>
        <w:t>?</w:t>
      </w:r>
      <w:r w:rsidR="001D4A1D" w:rsidRPr="001D4A1D">
        <w:rPr>
          <w:i/>
        </w:rPr>
        <w:t>'</w:t>
      </w:r>
      <w:r w:rsidR="006C40E3">
        <w:rPr>
          <w:i/>
        </w:rPr>
        <w:t xml:space="preserve"> </w:t>
      </w:r>
      <w:r w:rsidR="001D4A1D" w:rsidRPr="001D4A1D">
        <w:rPr>
          <w:i/>
        </w:rPr>
        <w:t>I think well hand on heart I’ve got to say no</w:t>
      </w:r>
      <w:r w:rsidR="00A562F4">
        <w:rPr>
          <w:i/>
        </w:rPr>
        <w:t xml:space="preserve"> </w:t>
      </w:r>
      <w:r w:rsidR="005C6ECD">
        <w:rPr>
          <w:i/>
        </w:rPr>
        <w:t>[</w:t>
      </w:r>
      <w:r w:rsidR="00A562F4">
        <w:rPr>
          <w:i/>
        </w:rPr>
        <w:t>…</w:t>
      </w:r>
      <w:r w:rsidR="005C6ECD">
        <w:rPr>
          <w:i/>
        </w:rPr>
        <w:t>]</w:t>
      </w:r>
      <w:r w:rsidR="001D4A1D">
        <w:rPr>
          <w:i/>
        </w:rPr>
        <w:t xml:space="preserve"> </w:t>
      </w:r>
      <w:r w:rsidR="00A562F4" w:rsidRPr="00A562F4">
        <w:rPr>
          <w:i/>
        </w:rPr>
        <w:t>You know, the amount of work I do at the end of the day is the same, but it takes more effort and</w:t>
      </w:r>
      <w:r w:rsidR="00A839F0">
        <w:rPr>
          <w:i/>
        </w:rPr>
        <w:t>,</w:t>
      </w:r>
      <w:r w:rsidR="00A562F4" w:rsidRPr="00A562F4">
        <w:rPr>
          <w:i/>
        </w:rPr>
        <w:t xml:space="preserve"> you know</w:t>
      </w:r>
      <w:r w:rsidR="00A839F0">
        <w:rPr>
          <w:i/>
        </w:rPr>
        <w:t>,</w:t>
      </w:r>
      <w:r w:rsidR="00A562F4" w:rsidRPr="00A562F4">
        <w:rPr>
          <w:i/>
        </w:rPr>
        <w:t xml:space="preserve"> if I feel like one day I’ve had a crap day, then maybe the next day I’ll try and work harder.</w:t>
      </w:r>
      <w:r w:rsidR="00A562F4">
        <w:rPr>
          <w:i/>
        </w:rPr>
        <w:t>”</w:t>
      </w:r>
    </w:p>
    <w:p w14:paraId="19343B29" w14:textId="0DC82C10" w:rsidR="00FB23E2" w:rsidRDefault="00FB23E2" w:rsidP="00947E73">
      <w:pPr>
        <w:spacing w:line="480" w:lineRule="auto"/>
      </w:pPr>
      <w:r>
        <w:t xml:space="preserve">At extremes, workers could pretend to work rather than taking sickness absence, even </w:t>
      </w:r>
      <w:r w:rsidR="006C40E3">
        <w:t xml:space="preserve">on days </w:t>
      </w:r>
      <w:r>
        <w:t xml:space="preserve">when they were unable to </w:t>
      </w:r>
      <w:r w:rsidRPr="004C48DF">
        <w:t>do any work at all</w:t>
      </w:r>
      <w:r>
        <w:t>:</w:t>
      </w:r>
    </w:p>
    <w:p w14:paraId="03CE4DD1" w14:textId="5D71EA80" w:rsidR="00A562F4" w:rsidRPr="00A562F4" w:rsidRDefault="00A562F4" w:rsidP="00947E73">
      <w:pPr>
        <w:spacing w:line="480" w:lineRule="auto"/>
        <w:ind w:left="720"/>
      </w:pPr>
      <w:r>
        <w:rPr>
          <w:i/>
        </w:rPr>
        <w:t>“</w:t>
      </w:r>
      <w:r w:rsidRPr="00A562F4">
        <w:rPr>
          <w:i/>
        </w:rPr>
        <w:t>I said I was going looking for properties</w:t>
      </w:r>
      <w:r w:rsidR="005C6ECD">
        <w:rPr>
          <w:i/>
        </w:rPr>
        <w:t xml:space="preserve"> [</w:t>
      </w:r>
      <w:r>
        <w:rPr>
          <w:i/>
        </w:rPr>
        <w:t>…</w:t>
      </w:r>
      <w:r w:rsidR="005C6ECD">
        <w:rPr>
          <w:i/>
        </w:rPr>
        <w:t xml:space="preserve">] </w:t>
      </w:r>
      <w:r w:rsidRPr="00A562F4">
        <w:rPr>
          <w:i/>
        </w:rPr>
        <w:t>and I’d come home and I’d just lie down all day, and not get a sick note</w:t>
      </w:r>
      <w:r>
        <w:rPr>
          <w:i/>
        </w:rPr>
        <w:t>”</w:t>
      </w:r>
      <w:r>
        <w:t xml:space="preserve"> – Nick</w:t>
      </w:r>
      <w:r w:rsidR="006C40E3">
        <w:t>, property finance</w:t>
      </w:r>
    </w:p>
    <w:p w14:paraId="459B17B7" w14:textId="1EFCE644" w:rsidR="006C40E3" w:rsidRDefault="004237C5" w:rsidP="00947E73">
      <w:pPr>
        <w:spacing w:line="480" w:lineRule="auto"/>
      </w:pPr>
      <w:r>
        <w:t>Without adjustment latitude</w:t>
      </w:r>
      <w:r w:rsidR="00443EE0" w:rsidRPr="004C48DF">
        <w:t xml:space="preserve">, </w:t>
      </w:r>
      <w:r w:rsidR="003F26AC">
        <w:t xml:space="preserve">impaired performance was </w:t>
      </w:r>
      <w:r w:rsidR="00443EE0" w:rsidRPr="004C48DF">
        <w:t>more visible to employer</w:t>
      </w:r>
      <w:r>
        <w:t>s</w:t>
      </w:r>
      <w:r w:rsidR="00443EE0" w:rsidRPr="004C48DF">
        <w:t xml:space="preserve">.  Sarah worked ‘incredibly hard’ </w:t>
      </w:r>
      <w:r w:rsidR="006C40E3">
        <w:t xml:space="preserve">as a </w:t>
      </w:r>
      <w:r w:rsidR="00443EE0" w:rsidRPr="004C48DF">
        <w:t xml:space="preserve">supermarket </w:t>
      </w:r>
      <w:r w:rsidR="006C40E3">
        <w:t xml:space="preserve">supervisor </w:t>
      </w:r>
      <w:r w:rsidR="00443EE0" w:rsidRPr="004C48DF">
        <w:t xml:space="preserve">on </w:t>
      </w:r>
      <w:r w:rsidR="006F6877">
        <w:t xml:space="preserve">some </w:t>
      </w:r>
      <w:r w:rsidR="00443EE0" w:rsidRPr="004C48DF">
        <w:t xml:space="preserve">days, but had other days where her </w:t>
      </w:r>
      <w:r w:rsidR="00443EE0" w:rsidRPr="004C48DF">
        <w:lastRenderedPageBreak/>
        <w:t xml:space="preserve">depression made </w:t>
      </w:r>
      <w:r w:rsidR="00F33414">
        <w:t>h</w:t>
      </w:r>
      <w:r w:rsidR="006C40E3">
        <w:t xml:space="preserve">er </w:t>
      </w:r>
      <w:r w:rsidR="00443EE0" w:rsidRPr="004C48DF">
        <w:t xml:space="preserve">unable to </w:t>
      </w:r>
      <w:r w:rsidR="003B265B">
        <w:t>work productively</w:t>
      </w:r>
      <w:r w:rsidR="00443EE0" w:rsidRPr="004C48DF">
        <w:t>.</w:t>
      </w:r>
      <w:r w:rsidR="006C40E3">
        <w:t xml:space="preserve">  That she managed to stay in her job so long was not because she had the adjustment latitude to conceal this, but rather because </w:t>
      </w:r>
      <w:r w:rsidR="006F6877">
        <w:t xml:space="preserve">of </w:t>
      </w:r>
      <w:r w:rsidR="006C40E3">
        <w:t>her previous manager:</w:t>
      </w:r>
    </w:p>
    <w:p w14:paraId="1C8C0E10" w14:textId="3ACA1532" w:rsidR="00FB23E2" w:rsidRDefault="006C40E3" w:rsidP="00947E73">
      <w:pPr>
        <w:pStyle w:val="Quote"/>
        <w:spacing w:line="480" w:lineRule="auto"/>
      </w:pPr>
      <w:r>
        <w:t>“</w:t>
      </w:r>
      <w:r w:rsidRPr="006C40E3">
        <w:t>I remember my direct manager saying to me one time, “You know what? You’re the best supervisor I’ve ever had.</w:t>
      </w:r>
      <w:r>
        <w:t xml:space="preserve"> </w:t>
      </w:r>
      <w:r w:rsidRPr="006C40E3">
        <w:t>Because even though you’ve got your illness, some days you get really unmotivated and you can’t actually do anything</w:t>
      </w:r>
      <w:r>
        <w:t xml:space="preserve"> […] </w:t>
      </w:r>
      <w:r w:rsidRPr="006C40E3">
        <w:t>But on the days that you’re on the ball</w:t>
      </w:r>
      <w:r w:rsidR="006F6877">
        <w:t xml:space="preserve">, </w:t>
      </w:r>
      <w:r w:rsidRPr="006C40E3">
        <w:t xml:space="preserve">you try so hard.” </w:t>
      </w:r>
      <w:r>
        <w:t xml:space="preserve">[…] </w:t>
      </w:r>
      <w:r w:rsidRPr="006C40E3">
        <w:t xml:space="preserve">And if it weren’t </w:t>
      </w:r>
      <w:r>
        <w:t>for that man, my direct manager</w:t>
      </w:r>
      <w:r w:rsidRPr="006C40E3">
        <w:t>, I don’t think I would’v</w:t>
      </w:r>
      <w:r>
        <w:t>e survived the last eight years […] I</w:t>
      </w:r>
      <w:r w:rsidRPr="006C40E3">
        <w:t xml:space="preserve">f it weren’t for </w:t>
      </w:r>
      <w:r>
        <w:t xml:space="preserve">[him] </w:t>
      </w:r>
      <w:r w:rsidRPr="006C40E3">
        <w:t xml:space="preserve">protecting me and backing me up, </w:t>
      </w:r>
      <w:r>
        <w:t xml:space="preserve">[the management] </w:t>
      </w:r>
      <w:r w:rsidRPr="006C40E3">
        <w:t>would’ve gone full-pelt at me because there’s been many times they tried to get me sacked.</w:t>
      </w:r>
      <w:r>
        <w:t>”</w:t>
      </w:r>
      <w:r w:rsidR="00443EE0" w:rsidRPr="004C48DF">
        <w:t xml:space="preserve">  </w:t>
      </w:r>
    </w:p>
    <w:p w14:paraId="64987EF2" w14:textId="3AB5A255" w:rsidR="004B7FE0" w:rsidRDefault="004237C5" w:rsidP="00947E73">
      <w:pPr>
        <w:spacing w:line="480" w:lineRule="auto"/>
      </w:pPr>
      <w:r>
        <w:t xml:space="preserve">As this suggests, </w:t>
      </w:r>
      <w:r w:rsidR="0068578C">
        <w:t xml:space="preserve">flexibility was not available to everyone.  </w:t>
      </w:r>
      <w:r w:rsidR="00B44912">
        <w:t xml:space="preserve">Khaled’s bus driving was inflexible, partly governed by passengers and partly by managerial surveillance (motion sensors, cameras).  </w:t>
      </w:r>
      <w:r w:rsidR="00C04546">
        <w:t>While the present study focused on processes of incapacity rather than of work design, a</w:t>
      </w:r>
      <w:r w:rsidR="004B7FE0">
        <w:t xml:space="preserve">djustment latitude </w:t>
      </w:r>
      <w:r w:rsidR="00C04546">
        <w:t xml:space="preserve">appeared to be </w:t>
      </w:r>
      <w:r w:rsidR="004B7FE0">
        <w:t xml:space="preserve">an integral feature of </w:t>
      </w:r>
      <w:r w:rsidR="00B44912">
        <w:t xml:space="preserve">jobs </w:t>
      </w:r>
      <w:r w:rsidR="004B7FE0">
        <w:t xml:space="preserve">where </w:t>
      </w:r>
      <w:r w:rsidR="004B7FE0" w:rsidRPr="000C6D55">
        <w:t>managerial control was exercised through targets</w:t>
      </w:r>
      <w:r w:rsidR="004B7FE0">
        <w:t xml:space="preserve"> or the allocation of discrete packages of work.   We have already seen how Nick had very high levels of adjustment latitude that enabled him to avoid sickness absence, and elsewhere he described his job as follows:</w:t>
      </w:r>
    </w:p>
    <w:p w14:paraId="75E94F92" w14:textId="1AE801B4" w:rsidR="001D4A1D" w:rsidRDefault="004B7FE0" w:rsidP="00947E73">
      <w:pPr>
        <w:pStyle w:val="Quote"/>
        <w:spacing w:line="480" w:lineRule="auto"/>
      </w:pPr>
      <w:r w:rsidRPr="000C6D55">
        <w:t xml:space="preserve"> </w:t>
      </w:r>
      <w:r w:rsidR="001D4A1D" w:rsidRPr="000C6D55">
        <w:t xml:space="preserve">“If you want to take longer for lunch, take longer for lunch. If you want to turn up late, turn up late. But you’re going to have to do the work somewhere along the way, it’s up to you when you do it” </w:t>
      </w:r>
    </w:p>
    <w:p w14:paraId="50CFF4C6" w14:textId="0643AB6E" w:rsidR="00A15C68" w:rsidRDefault="00B44912" w:rsidP="00FA2B60">
      <w:pPr>
        <w:spacing w:line="480" w:lineRule="auto"/>
      </w:pPr>
      <w:r>
        <w:t xml:space="preserve">But what of the link between education and autonomy?  The qualitative design of the present study does not enable us to make robust generalisations based on patterns of association, much as lower-educated respondents like Khaled and Sarah </w:t>
      </w:r>
      <w:r w:rsidR="00EF34D4">
        <w:t xml:space="preserve">tended to have </w:t>
      </w:r>
      <w:r>
        <w:t xml:space="preserve">less flexibility, while higher-educated </w:t>
      </w:r>
      <w:r>
        <w:lastRenderedPageBreak/>
        <w:t>respondents like Nick and Yve</w:t>
      </w:r>
      <w:r w:rsidR="00623EC9">
        <w:t xml:space="preserve">tte had more flexibility. </w:t>
      </w:r>
      <w:r>
        <w:t xml:space="preserve"> </w:t>
      </w:r>
      <w:r w:rsidR="00623EC9">
        <w:t>T</w:t>
      </w:r>
      <w:r w:rsidR="00EF34D4">
        <w:t xml:space="preserve">here are also many influences on autonomy for any given job in any given workplace, ranging from the structural to the individual manager.  </w:t>
      </w:r>
      <w:r w:rsidR="00C04546">
        <w:t xml:space="preserve">Still, it is clear from other, quantitative research that forms of autonomy tend to cluster together, and that </w:t>
      </w:r>
      <w:r w:rsidR="004B7FE0">
        <w:t xml:space="preserve">autonomy </w:t>
      </w:r>
      <w:r w:rsidR="00712162">
        <w:t>is strongly socially patterned</w:t>
      </w:r>
      <w:r w:rsidR="00C04546">
        <w:t xml:space="preserve"> </w:t>
      </w:r>
      <w:r w:rsidR="00C04546">
        <w:fldChar w:fldCharType="begin"/>
      </w:r>
      <w:r w:rsidR="00C04546">
        <w:instrText xml:space="preserve"> ADDIN EN.CITE &lt;EndNote&gt;&lt;Cite&gt;&lt;Author&gt;Baumberg&lt;/Author&gt;&lt;Year&gt;2011&lt;/Year&gt;&lt;RecNum&gt;1659&lt;/RecNum&gt;&lt;DisplayText&gt;(Baumberg 2011)&lt;/DisplayText&gt;&lt;record&gt;&lt;rec-number&gt;1659&lt;/rec-number&gt;&lt;foreign-keys&gt;&lt;key app="EN" db-id="0r2ffr5x6st05beff5rper2ax9sw5d9w0vzp" timestamp="0"&gt;1659&lt;/key&gt;&lt;/foreign-keys&gt;&lt;ref-type name="Thesis"&gt;32&lt;/ref-type&gt;&lt;contributors&gt;&lt;authors&gt;&lt;author&gt;Baumberg, B.&lt;/author&gt;&lt;/authors&gt;&lt;/contributors&gt;&lt;titles&gt;&lt;title&gt;The role of increasing job strain in deteriorating fitness-for-work and rising incapacity benefit receipt&lt;/title&gt;&lt;/titles&gt;&lt;dates&gt;&lt;year&gt;2011&lt;/year&gt;&lt;/dates&gt;&lt;publisher&gt;PhD thesis, The London School of Economics and Political Science (LSE)&lt;/publisher&gt;&lt;urls&gt;&lt;related-urls&gt;&lt;url&gt;http://etheses.lse.ac.uk/192/&lt;/url&gt;&lt;/related-urls&gt;&lt;/urls&gt;&lt;/record&gt;&lt;/Cite&gt;&lt;/EndNote&gt;</w:instrText>
      </w:r>
      <w:r w:rsidR="00C04546">
        <w:fldChar w:fldCharType="separate"/>
      </w:r>
      <w:r w:rsidR="00C04546">
        <w:rPr>
          <w:noProof/>
        </w:rPr>
        <w:t>(</w:t>
      </w:r>
      <w:hyperlink w:anchor="_ENREF_3" w:tooltip="Baumberg, 2011 #1659" w:history="1">
        <w:r w:rsidR="003242B5">
          <w:rPr>
            <w:noProof/>
          </w:rPr>
          <w:t>Baumberg 2011</w:t>
        </w:r>
      </w:hyperlink>
      <w:r w:rsidR="00C04546">
        <w:rPr>
          <w:noProof/>
        </w:rPr>
        <w:t>)</w:t>
      </w:r>
      <w:r w:rsidR="00C04546">
        <w:fldChar w:fldCharType="end"/>
      </w:r>
      <w:r w:rsidR="00712162">
        <w:t xml:space="preserve">; indeed, </w:t>
      </w:r>
      <w:r>
        <w:t xml:space="preserve">autonomy </w:t>
      </w:r>
      <w:r w:rsidR="00712162">
        <w:t xml:space="preserve">is </w:t>
      </w:r>
      <w:r>
        <w:t xml:space="preserve">part of the </w:t>
      </w:r>
      <w:r w:rsidRPr="00FA2B60">
        <w:rPr>
          <w:i/>
        </w:rPr>
        <w:t>definition</w:t>
      </w:r>
      <w:r>
        <w:t xml:space="preserve"> </w:t>
      </w:r>
      <w:r w:rsidR="00712162">
        <w:t>of NS-SEC social class</w:t>
      </w:r>
      <w:r>
        <w:t>es</w:t>
      </w:r>
      <w:r w:rsidR="00712162">
        <w:t>.</w:t>
      </w:r>
      <w:r w:rsidR="00EF34D4">
        <w:t xml:space="preserve">  F</w:t>
      </w:r>
      <w:r w:rsidR="00712162">
        <w:t xml:space="preserve">lexibility can help prevent impairments turning into incapacity, </w:t>
      </w:r>
      <w:r w:rsidR="00EF34D4">
        <w:t xml:space="preserve">and as we return to below, it </w:t>
      </w:r>
      <w:r w:rsidR="00FC6265">
        <w:t xml:space="preserve">is </w:t>
      </w:r>
      <w:r w:rsidR="00F538CE">
        <w:t xml:space="preserve">more </w:t>
      </w:r>
      <w:r w:rsidR="00EF34D4">
        <w:t>likely to be available for some people than others.</w:t>
      </w:r>
    </w:p>
    <w:p w14:paraId="442C9945" w14:textId="77777777" w:rsidR="00B44912" w:rsidRDefault="00B44912" w:rsidP="00FA2B60">
      <w:pPr>
        <w:spacing w:line="480" w:lineRule="auto"/>
        <w:sectPr w:rsidR="00B44912" w:rsidSect="0062202D">
          <w:type w:val="continuous"/>
          <w:pgSz w:w="11906" w:h="16838"/>
          <w:pgMar w:top="1440" w:right="1440" w:bottom="1440" w:left="1440" w:header="708" w:footer="708" w:gutter="0"/>
          <w:cols w:space="708"/>
          <w:docGrid w:linePitch="360"/>
        </w:sectPr>
      </w:pPr>
    </w:p>
    <w:p w14:paraId="56B55947" w14:textId="35E8EF2E" w:rsidR="001D4A1D" w:rsidRDefault="00376E7A" w:rsidP="00947E73">
      <w:pPr>
        <w:pStyle w:val="Heading3"/>
        <w:spacing w:line="480" w:lineRule="auto"/>
      </w:pPr>
      <w:r>
        <w:lastRenderedPageBreak/>
        <w:t xml:space="preserve">Employer </w:t>
      </w:r>
      <w:r w:rsidR="001D4A1D">
        <w:t>adjustments</w:t>
      </w:r>
    </w:p>
    <w:p w14:paraId="7F8CD81E" w14:textId="503209D2" w:rsidR="00BF269A" w:rsidRPr="005C6ECD" w:rsidRDefault="00C70478" w:rsidP="00947E73">
      <w:pPr>
        <w:spacing w:line="480" w:lineRule="auto"/>
        <w:rPr>
          <w:i/>
        </w:rPr>
      </w:pPr>
      <w:r>
        <w:t>At times</w:t>
      </w:r>
      <w:r w:rsidR="00FC6265">
        <w:t xml:space="preserve">, </w:t>
      </w:r>
      <w:r w:rsidR="0042077C">
        <w:t xml:space="preserve">flexibility could be </w:t>
      </w:r>
      <w:r w:rsidR="004237C5">
        <w:t xml:space="preserve">replaced by </w:t>
      </w:r>
      <w:r w:rsidR="00FC6265">
        <w:t>employer adjustments.  In particular, for people who struggled to maintain</w:t>
      </w:r>
      <w:r w:rsidR="00FC6265" w:rsidRPr="004C48DF">
        <w:t xml:space="preserve"> a fixed posture for long periods</w:t>
      </w:r>
      <w:r w:rsidR="00FC6265">
        <w:t xml:space="preserve">, employers could allow more frequent breaks to reduce pain and physical strain.  Hence while Cheryl </w:t>
      </w:r>
      <w:r w:rsidR="006F6877">
        <w:t xml:space="preserve">(above) </w:t>
      </w:r>
      <w:r w:rsidR="00FC6265">
        <w:t xml:space="preserve">had </w:t>
      </w:r>
      <w:r w:rsidR="006F6877">
        <w:t xml:space="preserve">the </w:t>
      </w:r>
      <w:r w:rsidR="00FC6265">
        <w:t xml:space="preserve">flexibility </w:t>
      </w:r>
      <w:r w:rsidR="00006F76">
        <w:t>to take breaks within her job</w:t>
      </w:r>
      <w:r w:rsidR="00FC6265">
        <w:t xml:space="preserve">, Helen </w:t>
      </w:r>
      <w:r w:rsidR="004237C5">
        <w:t>was granted</w:t>
      </w:r>
      <w:r w:rsidR="00BF269A">
        <w:t xml:space="preserve"> permission </w:t>
      </w:r>
      <w:r w:rsidR="004237C5">
        <w:t xml:space="preserve">by her employer </w:t>
      </w:r>
      <w:r w:rsidR="00006F76">
        <w:t>to get up from her desk and stretch her back regularly</w:t>
      </w:r>
      <w:r w:rsidR="00FC6265">
        <w:t>.</w:t>
      </w:r>
      <w:r w:rsidR="00006F76">
        <w:t xml:space="preserve">  </w:t>
      </w:r>
    </w:p>
    <w:p w14:paraId="656E7627" w14:textId="761E3FC0" w:rsidR="00C70478" w:rsidRDefault="00FC6265" w:rsidP="00947E73">
      <w:pPr>
        <w:spacing w:line="480" w:lineRule="auto"/>
      </w:pPr>
      <w:r>
        <w:t xml:space="preserve">Yet the importance of employer adjustments </w:t>
      </w:r>
      <w:r w:rsidR="00C70478">
        <w:t xml:space="preserve">went </w:t>
      </w:r>
      <w:r>
        <w:t>far beyond this</w:t>
      </w:r>
      <w:r w:rsidR="004237C5">
        <w:t xml:space="preserve"> </w:t>
      </w:r>
      <w:r w:rsidR="00390DAE">
        <w:fldChar w:fldCharType="begin"/>
      </w:r>
      <w:r w:rsidR="00390DAE">
        <w:instrText xml:space="preserve"> ADDIN EN.CITE &lt;EndNote&gt;&lt;Cite&gt;&lt;Author&gt;Sainsbury&lt;/Author&gt;&lt;Year&gt;2008&lt;/Year&gt;&lt;RecNum&gt;731&lt;/RecNum&gt;&lt;Suffix&gt;:157&lt;/Suffix&gt;&lt;DisplayText&gt;(Sainsbury et al. 2008:157)&lt;/DisplayText&gt;&lt;record&gt;&lt;rec-number&gt;731&lt;/rec-number&gt;&lt;foreign-keys&gt;&lt;key app="EN" db-id="0r2ffr5x6st05beff5rper2ax9sw5d9w0vzp" timestamp="0"&gt;731&lt;/key&gt;&lt;/foreign-keys&gt;&lt;ref-type name="Report"&gt;27&lt;/ref-type&gt;&lt;contributors&gt;&lt;authors&gt;&lt;author&gt;Roy Sainsbury&lt;/author&gt;&lt;author&gt;Annie Irvine&lt;/author&gt;&lt;author&gt;Jane Aston&lt;/author&gt;&lt;author&gt;Sally Wilson&lt;/author&gt;&lt;author&gt;Ceri Williams&lt;/author&gt;&lt;author&gt;Alice Sinclair&lt;/author&gt;&lt;/authors&gt;&lt;/contributors&gt;&lt;titles&gt;&lt;title&gt;Mental health and employment&lt;/title&gt;&lt;secondary-title&gt;Department for Work and Pensions Research Report No 513&lt;/secondary-title&gt;&lt;/titles&gt;&lt;dates&gt;&lt;year&gt;2008&lt;/year&gt;&lt;/dates&gt;&lt;urls&gt;&lt;related-urls&gt;&lt;url&gt;http://193.129.121.133/asd/asd5/rports2007-2008/rrep513.pdf [accessed 16/6/2011]&lt;/url&gt;&lt;/related-urls&gt;&lt;/urls&gt;&lt;custom1&gt;Read&lt;/custom1&gt;&lt;/record&gt;&lt;/Cite&gt;&lt;/EndNote&gt;</w:instrText>
      </w:r>
      <w:r w:rsidR="00390DAE">
        <w:fldChar w:fldCharType="separate"/>
      </w:r>
      <w:r w:rsidR="00390DAE">
        <w:rPr>
          <w:noProof/>
        </w:rPr>
        <w:t>(</w:t>
      </w:r>
      <w:hyperlink w:anchor="_ENREF_38" w:tooltip="Sainsbury, 2008 #731" w:history="1">
        <w:r w:rsidR="003242B5">
          <w:rPr>
            <w:noProof/>
          </w:rPr>
          <w:t>Sainsbury et al. 2008:157</w:t>
        </w:r>
      </w:hyperlink>
      <w:r w:rsidR="00390DAE">
        <w:rPr>
          <w:noProof/>
        </w:rPr>
        <w:t>)</w:t>
      </w:r>
      <w:r w:rsidR="00390DAE">
        <w:fldChar w:fldCharType="end"/>
      </w:r>
      <w:r>
        <w:t>.</w:t>
      </w:r>
      <w:r w:rsidR="00C70478">
        <w:t xml:space="preserve">  A lot of people’s physical impairments were </w:t>
      </w:r>
      <w:r w:rsidR="00C70478" w:rsidRPr="00C70478">
        <w:rPr>
          <w:i/>
        </w:rPr>
        <w:t>task-specific</w:t>
      </w:r>
      <w:r w:rsidR="00C70478">
        <w:t xml:space="preserve"> – that is, they struggled with a specific aspect of the job, such as holding fixed postures, lifting heavy objects, bending etc.  Employers could therefore make adjustments to either modify the physical environment</w:t>
      </w:r>
      <w:r w:rsidR="006E0773">
        <w:t xml:space="preserve"> (e.g. Nick </w:t>
      </w:r>
      <w:r w:rsidR="00BF269A">
        <w:t xml:space="preserve">received </w:t>
      </w:r>
      <w:r w:rsidR="006F6877">
        <w:t>a phone headset</w:t>
      </w:r>
      <w:r w:rsidR="006E0773">
        <w:t xml:space="preserve"> to reduce neck pain)</w:t>
      </w:r>
      <w:r w:rsidR="00C70478">
        <w:t xml:space="preserve">, or to remove the </w:t>
      </w:r>
      <w:r w:rsidR="0042077C">
        <w:t xml:space="preserve">specific </w:t>
      </w:r>
      <w:r w:rsidR="00C70478">
        <w:t xml:space="preserve">disabling aspects of people’s jobs.  </w:t>
      </w:r>
      <w:r w:rsidR="00BF269A">
        <w:t xml:space="preserve">Adjustments could be formal or informal, and </w:t>
      </w:r>
      <w:r w:rsidR="00C70478">
        <w:t xml:space="preserve">could </w:t>
      </w:r>
      <w:r w:rsidR="0042077C">
        <w:t xml:space="preserve">also </w:t>
      </w:r>
      <w:r w:rsidR="00C70478">
        <w:t>occur for people with mental health difficulties</w:t>
      </w:r>
      <w:r w:rsidR="004237C5">
        <w:t>:</w:t>
      </w:r>
      <w:r w:rsidR="00AB26AC">
        <w:t xml:space="preserve"> c</w:t>
      </w:r>
      <w:r w:rsidR="00C70478">
        <w:t xml:space="preserve">leaning the shopping centre on </w:t>
      </w:r>
      <w:r w:rsidR="00BF269A">
        <w:t xml:space="preserve">busy, </w:t>
      </w:r>
      <w:r w:rsidR="00C70478">
        <w:t xml:space="preserve">rainy dates was too chaotic </w:t>
      </w:r>
      <w:r w:rsidR="00BF269A">
        <w:t xml:space="preserve">for </w:t>
      </w:r>
      <w:r w:rsidR="004237C5">
        <w:t xml:space="preserve">Yusuf </w:t>
      </w:r>
      <w:r w:rsidR="00C70478">
        <w:t>to deal with given his PTSD, so on these days he was sent to clean empty stairwells</w:t>
      </w:r>
      <w:r w:rsidR="002A7DAB">
        <w:t xml:space="preserve"> instead</w:t>
      </w:r>
      <w:r w:rsidR="00C70478">
        <w:t>.</w:t>
      </w:r>
    </w:p>
    <w:p w14:paraId="10E91F3A" w14:textId="1916AF58" w:rsidR="00AC300E" w:rsidRDefault="006F6877" w:rsidP="00947E73">
      <w:pPr>
        <w:spacing w:line="480" w:lineRule="auto"/>
      </w:pPr>
      <w:r>
        <w:t xml:space="preserve">These </w:t>
      </w:r>
      <w:r w:rsidR="006E0773">
        <w:t>adjustments helped people</w:t>
      </w:r>
      <w:r w:rsidR="00BF269A">
        <w:t xml:space="preserve"> stay in work</w:t>
      </w:r>
      <w:r w:rsidR="003875EC">
        <w:t xml:space="preserve">, but </w:t>
      </w:r>
      <w:r w:rsidR="004237C5">
        <w:t xml:space="preserve">again </w:t>
      </w:r>
      <w:r w:rsidR="00AC300E">
        <w:t xml:space="preserve">they </w:t>
      </w:r>
      <w:r w:rsidR="00803B7D">
        <w:t xml:space="preserve">were not available for everyone.  </w:t>
      </w:r>
      <w:r w:rsidR="003875EC">
        <w:t xml:space="preserve">One disadvantage of adjustments </w:t>
      </w:r>
      <w:r w:rsidR="00AC300E" w:rsidRPr="00AC300E">
        <w:rPr>
          <w:i/>
        </w:rPr>
        <w:t>vis-à-vis</w:t>
      </w:r>
      <w:r w:rsidR="00AC300E">
        <w:t xml:space="preserve"> </w:t>
      </w:r>
      <w:r w:rsidR="003875EC">
        <w:t>flexibility is that people had to disclose their impairment to their employer</w:t>
      </w:r>
      <w:r w:rsidR="003410BD">
        <w:t>, and some people were unwilling to do this for fear of losing the job.</w:t>
      </w:r>
      <w:r w:rsidR="003875EC">
        <w:t xml:space="preserve">  Khaled would have benefited from being allowed regular breaks to stretch his back</w:t>
      </w:r>
      <w:r w:rsidR="004237C5">
        <w:t xml:space="preserve">, as we have already seen for </w:t>
      </w:r>
      <w:r w:rsidR="004237C5">
        <w:lastRenderedPageBreak/>
        <w:t>Helen and Cheryl</w:t>
      </w:r>
      <w:r w:rsidR="003410BD">
        <w:t xml:space="preserve">.  However, he said that </w:t>
      </w:r>
      <w:r w:rsidR="003875EC" w:rsidRPr="005C6ECD">
        <w:rPr>
          <w:i/>
        </w:rPr>
        <w:t xml:space="preserve">“I’d rather not </w:t>
      </w:r>
      <w:r w:rsidR="003875EC">
        <w:rPr>
          <w:i/>
        </w:rPr>
        <w:t>[tell them</w:t>
      </w:r>
      <w:r w:rsidR="003410BD">
        <w:rPr>
          <w:i/>
        </w:rPr>
        <w:t xml:space="preserve"> about my disability</w:t>
      </w:r>
      <w:r w:rsidR="003875EC">
        <w:rPr>
          <w:i/>
        </w:rPr>
        <w:t xml:space="preserve">] </w:t>
      </w:r>
      <w:r w:rsidR="003875EC" w:rsidRPr="005C6ECD">
        <w:rPr>
          <w:i/>
        </w:rPr>
        <w:t>because... I don’t feel that they would appreciate the fact that I have back problem</w:t>
      </w:r>
      <w:r w:rsidR="003875EC">
        <w:rPr>
          <w:i/>
        </w:rPr>
        <w:t xml:space="preserve"> […]</w:t>
      </w:r>
      <w:r w:rsidR="004237C5">
        <w:rPr>
          <w:i/>
        </w:rPr>
        <w:t xml:space="preserve"> A</w:t>
      </w:r>
      <w:r w:rsidR="003875EC" w:rsidRPr="005C6ECD">
        <w:rPr>
          <w:i/>
        </w:rPr>
        <w:t xml:space="preserve">nything under five years </w:t>
      </w:r>
      <w:r w:rsidR="004237C5">
        <w:rPr>
          <w:i/>
        </w:rPr>
        <w:t xml:space="preserve">[working there] </w:t>
      </w:r>
      <w:r w:rsidR="003875EC" w:rsidRPr="005C6ECD">
        <w:rPr>
          <w:i/>
        </w:rPr>
        <w:t>they can get rid of you easily</w:t>
      </w:r>
      <w:r w:rsidR="00AC300E">
        <w:rPr>
          <w:i/>
        </w:rPr>
        <w:t>.</w:t>
      </w:r>
      <w:r w:rsidR="003875EC">
        <w:rPr>
          <w:i/>
        </w:rPr>
        <w:t>”</w:t>
      </w:r>
      <w:r w:rsidR="00AC300E">
        <w:rPr>
          <w:i/>
        </w:rPr>
        <w:t xml:space="preserve">  </w:t>
      </w:r>
      <w:r w:rsidR="00AC300E">
        <w:t xml:space="preserve">Nor would </w:t>
      </w:r>
      <w:r w:rsidR="003410BD">
        <w:t xml:space="preserve">adjustments </w:t>
      </w:r>
      <w:r w:rsidR="00AC300E">
        <w:t xml:space="preserve">occur </w:t>
      </w:r>
      <w:r w:rsidR="003410BD">
        <w:t xml:space="preserve">where </w:t>
      </w:r>
      <w:r w:rsidR="00AC300E">
        <w:t xml:space="preserve">they involved </w:t>
      </w:r>
      <w:r w:rsidR="003875EC">
        <w:t xml:space="preserve">tasks </w:t>
      </w:r>
      <w:r w:rsidR="003410BD">
        <w:t xml:space="preserve">that were </w:t>
      </w:r>
      <w:r w:rsidR="003875EC">
        <w:t>central to the job</w:t>
      </w:r>
      <w:r>
        <w:t xml:space="preserve">, </w:t>
      </w:r>
      <w:r w:rsidR="003875EC">
        <w:t xml:space="preserve">such as Tessa’s epilepsy making it hard for her to care for children.  </w:t>
      </w:r>
    </w:p>
    <w:p w14:paraId="3BC6C964" w14:textId="4FB9663F" w:rsidR="003875EC" w:rsidRDefault="006F6877" w:rsidP="00947E73">
      <w:pPr>
        <w:spacing w:line="480" w:lineRule="auto"/>
      </w:pPr>
      <w:r>
        <w:t>A</w:t>
      </w:r>
      <w:r w:rsidR="003875EC">
        <w:t>djustment</w:t>
      </w:r>
      <w:r w:rsidR="003410BD">
        <w:t>s</w:t>
      </w:r>
      <w:r w:rsidR="003875EC">
        <w:t xml:space="preserve"> </w:t>
      </w:r>
      <w:r w:rsidR="003410BD">
        <w:t xml:space="preserve">were </w:t>
      </w:r>
      <w:r w:rsidR="003875EC">
        <w:t>valuable</w:t>
      </w:r>
      <w:r w:rsidR="00AC300E">
        <w:t xml:space="preserve"> </w:t>
      </w:r>
      <w:r w:rsidR="003875EC">
        <w:t xml:space="preserve">where </w:t>
      </w:r>
      <w:r w:rsidR="003410BD">
        <w:t xml:space="preserve">they were </w:t>
      </w:r>
      <w:r w:rsidR="003875EC">
        <w:t xml:space="preserve">possible, where an employee was confident enough to request </w:t>
      </w:r>
      <w:r w:rsidR="003410BD">
        <w:t>them</w:t>
      </w:r>
      <w:r w:rsidR="003875EC">
        <w:t xml:space="preserve">, and where an employer was happy to grant </w:t>
      </w:r>
      <w:r w:rsidR="003410BD">
        <w:t>them</w:t>
      </w:r>
      <w:r>
        <w:t xml:space="preserve">.  Small adjustments around desk-based work were sometimes possible for people in office jobs with little flexibility, and more significant adjustments were sometimes possible for people with physical impairments in physical jobs – and these people were </w:t>
      </w:r>
      <w:r>
        <w:rPr>
          <w:i/>
        </w:rPr>
        <w:t xml:space="preserve">not </w:t>
      </w:r>
      <w:r w:rsidR="00EF34D4">
        <w:t xml:space="preserve">necessarily </w:t>
      </w:r>
      <w:r>
        <w:t xml:space="preserve">highly-educated.  </w:t>
      </w:r>
    </w:p>
    <w:p w14:paraId="655AE9F2" w14:textId="77777777" w:rsidR="003875EC" w:rsidRDefault="003875EC" w:rsidP="00947E73">
      <w:pPr>
        <w:pStyle w:val="Heading4"/>
        <w:spacing w:line="480" w:lineRule="auto"/>
      </w:pPr>
      <w:r>
        <w:t>Adjusting demands</w:t>
      </w:r>
    </w:p>
    <w:p w14:paraId="6E7891E6" w14:textId="2ABA4089" w:rsidR="00AB26AC" w:rsidRDefault="00AB26AC" w:rsidP="00947E73">
      <w:pPr>
        <w:spacing w:line="480" w:lineRule="auto"/>
      </w:pPr>
      <w:r>
        <w:t>An</w:t>
      </w:r>
      <w:r w:rsidR="006F6877">
        <w:t>other type of adjustment was a phased return-to-work</w:t>
      </w:r>
      <w:r>
        <w:t xml:space="preserve">, where </w:t>
      </w:r>
      <w:r w:rsidR="00AC300E">
        <w:t xml:space="preserve">workload was </w:t>
      </w:r>
      <w:r>
        <w:t xml:space="preserve">temporarily </w:t>
      </w:r>
      <w:r w:rsidR="00AC300E">
        <w:t xml:space="preserve">reduced </w:t>
      </w:r>
      <w:r>
        <w:t xml:space="preserve">after absence </w:t>
      </w:r>
      <w:r w:rsidR="00390DAE">
        <w:fldChar w:fldCharType="begin">
          <w:fldData xml:space="preserve">PEVuZE5vdGU+PENpdGU+PEF1dGhvcj5HZXd1cnR6PC9BdXRob3I+PFllYXI+MjAwOTwvWWVhcj48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</w:fldData>
        </w:fldChar>
      </w:r>
      <w:r w:rsidR="00390DAE">
        <w:instrText xml:space="preserve"> ADDIN EN.CITE </w:instrText>
      </w:r>
      <w:r w:rsidR="00390DAE">
        <w:fldChar w:fldCharType="begin">
          <w:fldData xml:space="preserve">PEVuZE5vdGU+PENpdGU+PEF1dGhvcj5HZXd1cnR6PC9BdXRob3I+PFllYXI+MjAwOTwvWWVhcj48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</w:fldData>
        </w:fldChar>
      </w:r>
      <w:r w:rsidR="00390DAE">
        <w:instrText xml:space="preserve"> ADDIN EN.CITE.DATA </w:instrText>
      </w:r>
      <w:r w:rsidR="00390DAE">
        <w:fldChar w:fldCharType="end"/>
      </w:r>
      <w:r w:rsidR="00390DAE">
        <w:fldChar w:fldCharType="separate"/>
      </w:r>
      <w:r w:rsidR="00390DAE">
        <w:rPr>
          <w:noProof/>
        </w:rPr>
        <w:t>(</w:t>
      </w:r>
      <w:hyperlink w:anchor="_ENREF_10" w:tooltip="Gewurtz, 2009 #1009" w:history="1">
        <w:r w:rsidR="003242B5">
          <w:rPr>
            <w:noProof/>
          </w:rPr>
          <w:t>Gewurtz and Kirs 2009</w:t>
        </w:r>
      </w:hyperlink>
      <w:r w:rsidR="00390DAE">
        <w:rPr>
          <w:noProof/>
        </w:rPr>
        <w:t xml:space="preserve">, </w:t>
      </w:r>
      <w:hyperlink w:anchor="_ENREF_38" w:tooltip="Sainsbury, 2008 #731" w:history="1">
        <w:r w:rsidR="003242B5">
          <w:rPr>
            <w:noProof/>
          </w:rPr>
          <w:t>Sainsbury et al. 2008:64</w:t>
        </w:r>
      </w:hyperlink>
      <w:r w:rsidR="00390DAE">
        <w:rPr>
          <w:noProof/>
        </w:rPr>
        <w:t>)</w:t>
      </w:r>
      <w:r w:rsidR="00390DAE">
        <w:fldChar w:fldCharType="end"/>
      </w:r>
      <w:r w:rsidR="00A03473">
        <w:t xml:space="preserve"> – an adjustment that can be thought of as responding to temporary ‘sickness’ rather than </w:t>
      </w:r>
      <w:r w:rsidR="00623EC9">
        <w:t>(</w:t>
      </w:r>
      <w:r w:rsidR="00A03473">
        <w:t>semi-</w:t>
      </w:r>
      <w:r w:rsidR="00623EC9">
        <w:t>)</w:t>
      </w:r>
      <w:r w:rsidR="00A03473">
        <w:t>permanent ‘disability’</w:t>
      </w:r>
      <w:r>
        <w:t xml:space="preserve">.  This was important for </w:t>
      </w:r>
      <w:r w:rsidR="00B54E4E">
        <w:t xml:space="preserve">many </w:t>
      </w:r>
      <w:r>
        <w:t xml:space="preserve">impairments </w:t>
      </w:r>
      <w:r w:rsidR="00B54E4E">
        <w:t xml:space="preserve">relating to </w:t>
      </w:r>
      <w:r>
        <w:t>the</w:t>
      </w:r>
      <w:r w:rsidR="00B54E4E">
        <w:t xml:space="preserve"> pace/</w:t>
      </w:r>
      <w:r w:rsidRPr="00AB26AC">
        <w:t>intensity of work</w:t>
      </w:r>
      <w:r>
        <w:t xml:space="preserve">, </w:t>
      </w:r>
      <w:r w:rsidR="00B54E4E">
        <w:t xml:space="preserve">which could be </w:t>
      </w:r>
      <w:r>
        <w:t xml:space="preserve">physical (e.g. standing/sitting for long periods) </w:t>
      </w:r>
      <w:r w:rsidR="00B54E4E">
        <w:t xml:space="preserve">or </w:t>
      </w:r>
      <w:r>
        <w:t xml:space="preserve">stress-related.  </w:t>
      </w:r>
      <w:r w:rsidRPr="004C48DF">
        <w:t xml:space="preserve">Yet there seemed to participants almost no scope whatsoever for </w:t>
      </w:r>
      <w:r w:rsidRPr="00FC2A92">
        <w:rPr>
          <w:i/>
        </w:rPr>
        <w:t>permanently</w:t>
      </w:r>
      <w:r w:rsidRPr="004C48DF">
        <w:t xml:space="preserve"> reducing demands</w:t>
      </w:r>
      <w:r w:rsidR="00305273">
        <w:t>, other than reducing the hours of work (see below)</w:t>
      </w:r>
      <w:r w:rsidRPr="004C48DF">
        <w:t>.</w:t>
      </w:r>
      <w:r>
        <w:t xml:space="preserve">  </w:t>
      </w:r>
      <w:r w:rsidRPr="000C6D55">
        <w:t xml:space="preserve">Marjorie would have been able to </w:t>
      </w:r>
      <w:r w:rsidR="00AC300E">
        <w:t xml:space="preserve">do </w:t>
      </w:r>
      <w:r>
        <w:t xml:space="preserve">her cleaning work without bending down </w:t>
      </w:r>
      <w:r w:rsidRPr="000C6D55">
        <w:t xml:space="preserve">if </w:t>
      </w:r>
      <w:r>
        <w:t xml:space="preserve">she could reduce her work pace, but instead had to give up the job.  </w:t>
      </w:r>
      <w:r w:rsidRPr="004C48DF">
        <w:t>Scott put it</w:t>
      </w:r>
      <w:r>
        <w:t xml:space="preserve"> similarly:</w:t>
      </w:r>
    </w:p>
    <w:p w14:paraId="22822788" w14:textId="77777777" w:rsidR="00AB26AC" w:rsidRDefault="00AB26AC" w:rsidP="00947E73">
      <w:pPr>
        <w:spacing w:line="480" w:lineRule="auto"/>
        <w:ind w:left="720"/>
        <w:rPr>
          <w:i/>
        </w:rPr>
      </w:pPr>
      <w:r w:rsidRPr="00A3459F">
        <w:rPr>
          <w:i/>
        </w:rPr>
        <w:t>“</w:t>
      </w:r>
      <w:r w:rsidRPr="005C6ECD">
        <w:rPr>
          <w:i/>
        </w:rPr>
        <w:t>There is no room for manoeuvre. I know as far as I was concerned, the pressure was always going to be there if I went back to that job.</w:t>
      </w:r>
      <w:r w:rsidRPr="00A3459F">
        <w:rPr>
          <w:i/>
        </w:rPr>
        <w:t>”</w:t>
      </w:r>
      <w:r>
        <w:rPr>
          <w:i/>
        </w:rPr>
        <w:t xml:space="preserve"> </w:t>
      </w:r>
    </w:p>
    <w:p w14:paraId="0DD1768F" w14:textId="6BF249EE" w:rsidR="00AB26AC" w:rsidRPr="004C48DF" w:rsidRDefault="00AB26AC" w:rsidP="00947E73">
      <w:pPr>
        <w:spacing w:line="480" w:lineRule="auto"/>
      </w:pPr>
      <w:r w:rsidRPr="008478C9">
        <w:t xml:space="preserve">Others tried </w:t>
      </w:r>
      <w:r>
        <w:t xml:space="preserve">and failed </w:t>
      </w:r>
      <w:r w:rsidRPr="008478C9">
        <w:t>to persuade their employers to reduce the</w:t>
      </w:r>
      <w:r>
        <w:t>ir</w:t>
      </w:r>
      <w:r w:rsidRPr="008478C9">
        <w:t xml:space="preserve"> demands</w:t>
      </w:r>
      <w:r>
        <w:t xml:space="preserve">, </w:t>
      </w:r>
      <w:r w:rsidR="00305273">
        <w:t xml:space="preserve">and </w:t>
      </w:r>
      <w:r>
        <w:t xml:space="preserve">as shown </w:t>
      </w:r>
      <w:r w:rsidR="00B54E4E">
        <w:t xml:space="preserve">for </w:t>
      </w:r>
      <w:r>
        <w:t>Lindsey and Maryah</w:t>
      </w:r>
      <w:r w:rsidR="00B54E4E">
        <w:t xml:space="preserve"> </w:t>
      </w:r>
      <w:r>
        <w:t>above</w:t>
      </w:r>
      <w:r w:rsidR="00305273">
        <w:t>, this applied i</w:t>
      </w:r>
      <w:r w:rsidR="00B54E4E">
        <w:t>rrespective of their education</w:t>
      </w:r>
      <w:r>
        <w:t xml:space="preserve">.  People </w:t>
      </w:r>
      <w:r w:rsidR="008D1C45">
        <w:t xml:space="preserve">also </w:t>
      </w:r>
      <w:r>
        <w:t xml:space="preserve">sometimes felt that their </w:t>
      </w:r>
      <w:r w:rsidRPr="004C48DF">
        <w:t>mental health made it difficult to deal with demands that other people could cope with:</w:t>
      </w:r>
    </w:p>
    <w:p w14:paraId="185A2B7C" w14:textId="1ECE5F45" w:rsidR="00AB26AC" w:rsidRDefault="00AB26AC" w:rsidP="00947E73">
      <w:pPr>
        <w:spacing w:line="480" w:lineRule="auto"/>
        <w:ind w:left="720"/>
      </w:pPr>
      <w:r w:rsidRPr="004C48DF">
        <w:rPr>
          <w:i/>
        </w:rPr>
        <w:lastRenderedPageBreak/>
        <w:t xml:space="preserve">“I'm not [my manager]. I'm me. It's what I can reasonably do. What my strength is suited for. But they don't see it like that” </w:t>
      </w:r>
      <w:r>
        <w:t xml:space="preserve">– Lindsey </w:t>
      </w:r>
    </w:p>
    <w:p w14:paraId="699C289C" w14:textId="5594C6ED" w:rsidR="008D1C45" w:rsidRPr="00D73573" w:rsidRDefault="008D1C45" w:rsidP="00947E73">
      <w:pPr>
        <w:spacing w:line="480" w:lineRule="auto"/>
        <w:rPr>
          <w:i/>
        </w:rPr>
      </w:pPr>
      <w:r>
        <w:t xml:space="preserve">Indeed, employees with impairments may actually find themselves with a higher workload than others, to the extent that their impairment makes it more difficult to resist excessive workload demands.  As </w:t>
      </w:r>
      <w:r w:rsidRPr="004C48DF">
        <w:t>Sarah</w:t>
      </w:r>
      <w:r>
        <w:t xml:space="preserve"> put it, </w:t>
      </w:r>
      <w:r w:rsidRPr="004C48DF">
        <w:t xml:space="preserve">other </w:t>
      </w:r>
      <w:r>
        <w:t xml:space="preserve">supermarket </w:t>
      </w:r>
      <w:r w:rsidRPr="004C48DF">
        <w:t xml:space="preserve">staff would </w:t>
      </w:r>
      <w:r w:rsidR="00937E50">
        <w:t xml:space="preserve">say </w:t>
      </w:r>
      <w:r w:rsidRPr="004C48DF">
        <w:rPr>
          <w:i/>
        </w:rPr>
        <w:t xml:space="preserve">‘just don’t pressure me’ </w:t>
      </w:r>
      <w:r w:rsidRPr="004C48DF">
        <w:t>to managers</w:t>
      </w:r>
      <w:r w:rsidRPr="004C48DF">
        <w:rPr>
          <w:i/>
        </w:rPr>
        <w:t>,</w:t>
      </w:r>
      <w:r w:rsidRPr="004C48DF">
        <w:t xml:space="preserve"> but “</w:t>
      </w:r>
      <w:r w:rsidRPr="004C48DF">
        <w:rPr>
          <w:i/>
        </w:rPr>
        <w:t>I can’t do that,</w:t>
      </w:r>
      <w:r>
        <w:rPr>
          <w:i/>
        </w:rPr>
        <w:t xml:space="preserve"> I’d end up bursting into tears</w:t>
      </w:r>
      <w:r w:rsidRPr="004C48DF">
        <w:t>”</w:t>
      </w:r>
      <w:r>
        <w:t>.</w:t>
      </w:r>
    </w:p>
    <w:p w14:paraId="1A9A72D2" w14:textId="0E6E3EBB" w:rsidR="00E80FE9" w:rsidRDefault="00D73573" w:rsidP="00947E73">
      <w:pPr>
        <w:spacing w:line="480" w:lineRule="auto"/>
        <w:rPr>
          <w:lang w:val="en-US"/>
        </w:rPr>
      </w:pPr>
      <w:r>
        <w:t>In the face of a near-universal inability to permanently reduce demands, p</w:t>
      </w:r>
      <w:r w:rsidR="00305273">
        <w:t xml:space="preserve">erhaps the most revealing situation was that of </w:t>
      </w:r>
      <w:r w:rsidR="00305273" w:rsidRPr="004C48DF">
        <w:t>Ricardo</w:t>
      </w:r>
      <w:r w:rsidR="00305273">
        <w:t xml:space="preserve">.  He had been in bed for ten months after a serious </w:t>
      </w:r>
      <w:r w:rsidR="00305273">
        <w:rPr>
          <w:lang w:val="en-US"/>
        </w:rPr>
        <w:t>motorbike accident, and when his health started to improve, he found a job through a friend as a caretaker at a church.  This job was perfect for his situation</w:t>
      </w:r>
      <w:r w:rsidR="00B54E4E">
        <w:rPr>
          <w:lang w:val="en-US"/>
        </w:rPr>
        <w:t>, with a low and flexible</w:t>
      </w:r>
      <w:r w:rsidR="00DF4222">
        <w:rPr>
          <w:lang w:val="en-US"/>
        </w:rPr>
        <w:t xml:space="preserve"> pace of work</w:t>
      </w:r>
      <w:r w:rsidR="00937E50">
        <w:rPr>
          <w:lang w:val="en-US"/>
        </w:rPr>
        <w:t xml:space="preserve"> – he reported that his boss said</w:t>
      </w:r>
      <w:r w:rsidR="00E80FE9">
        <w:rPr>
          <w:lang w:val="en-US"/>
        </w:rPr>
        <w:t>:</w:t>
      </w:r>
      <w:r w:rsidR="00305273">
        <w:rPr>
          <w:lang w:val="en-US"/>
        </w:rPr>
        <w:t xml:space="preserve"> </w:t>
      </w:r>
    </w:p>
    <w:p w14:paraId="0130446E" w14:textId="0D60D391" w:rsidR="00E80FE9" w:rsidRDefault="00E80FE9" w:rsidP="00947E73">
      <w:pPr>
        <w:pStyle w:val="Quote"/>
        <w:spacing w:line="480" w:lineRule="auto"/>
        <w:rPr>
          <w:lang w:val="en-US"/>
        </w:rPr>
      </w:pPr>
      <w:r w:rsidRPr="00937E50">
        <w:rPr>
          <w:lang w:val="en-US"/>
        </w:rPr>
        <w:t xml:space="preserve">“I don’t care about the time, there’s room for five months, I don’t care.  Just do it nicely.’ […]  If you don’t come tomorrow don’t worry about it, just take your time </w:t>
      </w:r>
      <w:r w:rsidR="00937E50" w:rsidRPr="00937E50">
        <w:rPr>
          <w:lang w:val="en-US"/>
        </w:rPr>
        <w:t>and</w:t>
      </w:r>
      <w:r w:rsidRPr="00937E50">
        <w:rPr>
          <w:lang w:val="en-US"/>
        </w:rPr>
        <w:t xml:space="preserve"> do your work you can</w:t>
      </w:r>
      <w:r w:rsidR="00937E50" w:rsidRPr="00937E50">
        <w:rPr>
          <w:lang w:val="en-US"/>
        </w:rPr>
        <w:t>”</w:t>
      </w:r>
    </w:p>
    <w:p w14:paraId="1282BF0D" w14:textId="4B9E4A6E" w:rsidR="00305273" w:rsidRDefault="00DF4222" w:rsidP="00947E73">
      <w:pPr>
        <w:spacing w:line="480" w:lineRule="auto"/>
      </w:pPr>
      <w:r>
        <w:rPr>
          <w:lang w:val="en-US"/>
        </w:rPr>
        <w:t>U</w:t>
      </w:r>
      <w:r w:rsidR="00305273">
        <w:rPr>
          <w:lang w:val="en-US"/>
        </w:rPr>
        <w:t xml:space="preserve">niquely here, this situation was allowed to continue indefinitely.  Tellingly, Ricardo described this job as </w:t>
      </w:r>
      <w:r w:rsidR="00305273">
        <w:rPr>
          <w:i/>
          <w:lang w:val="en-US"/>
        </w:rPr>
        <w:t>‘a gesture’.</w:t>
      </w:r>
      <w:r w:rsidR="00305273">
        <w:rPr>
          <w:lang w:val="en-US"/>
        </w:rPr>
        <w:t xml:space="preserve">  By this he implied that it was an act of charity by a religious organization, which in its exceptional nature highlights the impossibility of permanently reducing demands within the </w:t>
      </w:r>
      <w:r w:rsidR="00305273" w:rsidRPr="004C48DF">
        <w:t>normal logic of work.</w:t>
      </w:r>
    </w:p>
    <w:p w14:paraId="5A12CD95" w14:textId="77777777" w:rsidR="001D4A1D" w:rsidRPr="004C48DF" w:rsidRDefault="001D4A1D" w:rsidP="00947E73">
      <w:pPr>
        <w:spacing w:line="480" w:lineRule="auto"/>
      </w:pPr>
    </w:p>
    <w:p w14:paraId="7BA2B191" w14:textId="24181D72" w:rsidR="00A025F7" w:rsidRDefault="00A025F7" w:rsidP="00947E73">
      <w:pPr>
        <w:pStyle w:val="Heading3"/>
        <w:spacing w:line="480" w:lineRule="auto"/>
      </w:pPr>
      <w:r>
        <w:lastRenderedPageBreak/>
        <w:t>Changing job</w:t>
      </w:r>
    </w:p>
    <w:p w14:paraId="097A8CA1" w14:textId="77777777" w:rsidR="00A03473" w:rsidRDefault="0042077C" w:rsidP="00947E73">
      <w:pPr>
        <w:spacing w:line="480" w:lineRule="auto"/>
      </w:pPr>
      <w:r>
        <w:t xml:space="preserve">The final way </w:t>
      </w:r>
      <w:r w:rsidR="00F45630">
        <w:t xml:space="preserve">to make impairments </w:t>
      </w:r>
      <w:r w:rsidR="002C4450">
        <w:t>less-</w:t>
      </w:r>
      <w:r w:rsidR="00F45630">
        <w:t xml:space="preserve">disabling </w:t>
      </w:r>
      <w:r w:rsidR="00D37D23">
        <w:t>wa</w:t>
      </w:r>
      <w:r>
        <w:t xml:space="preserve">s </w:t>
      </w:r>
      <w:r w:rsidR="002C4450">
        <w:t xml:space="preserve">to move </w:t>
      </w:r>
      <w:r w:rsidR="00F45630">
        <w:t xml:space="preserve">to a more suitable job – a major feature of people’s </w:t>
      </w:r>
      <w:r w:rsidR="002C4450">
        <w:t xml:space="preserve">accounts, but </w:t>
      </w:r>
      <w:r w:rsidR="0003345C">
        <w:t xml:space="preserve">surprisingly </w:t>
      </w:r>
      <w:r w:rsidR="002C4450">
        <w:t>rarely studied in the wider literature</w:t>
      </w:r>
      <w:r w:rsidR="00A03473">
        <w:t>, even in the ‘hidden unemployment’ literature that it most closely relates to</w:t>
      </w:r>
      <w:r>
        <w:t>.</w:t>
      </w:r>
      <w:r w:rsidR="002C4450">
        <w:t xml:space="preserve">  </w:t>
      </w:r>
    </w:p>
    <w:p w14:paraId="5D643495" w14:textId="0346E0C9" w:rsidR="002C4450" w:rsidRPr="004C48DF" w:rsidRDefault="002C4450" w:rsidP="00947E73">
      <w:pPr>
        <w:spacing w:line="480" w:lineRule="auto"/>
      </w:pPr>
      <w:r>
        <w:t xml:space="preserve">Almost by definition, more </w:t>
      </w:r>
      <w:r w:rsidR="00715378">
        <w:t>‘</w:t>
      </w:r>
      <w:r>
        <w:t>employable</w:t>
      </w:r>
      <w:r w:rsidR="00715378">
        <w:t>’</w:t>
      </w:r>
      <w:r>
        <w:t xml:space="preserve"> people found it easier to </w:t>
      </w:r>
      <w:r w:rsidR="00DF3A15">
        <w:t>move</w:t>
      </w:r>
      <w:r w:rsidR="00715378">
        <w:t xml:space="preserve">. (While we use ‘employability’ to refer to an individual’s ability to find work, this is </w:t>
      </w:r>
      <w:r w:rsidR="00DF3A15">
        <w:t xml:space="preserve">obviously </w:t>
      </w:r>
      <w:r w:rsidR="00715378">
        <w:t xml:space="preserve">specific to particular labour markets at particular times </w:t>
      </w:r>
      <w:r w:rsidR="00390DAE">
        <w:fldChar w:fldCharType="begin"/>
      </w:r>
      <w:r w:rsidR="00390DAE">
        <w:instrText xml:space="preserve"> ADDIN EN.CITE &lt;EndNote&gt;&lt;Cite&gt;&lt;Author&gt;McQuaid&lt;/Author&gt;&lt;Year&gt;2005&lt;/Year&gt;&lt;RecNum&gt;1729&lt;/RecNum&gt;&lt;Prefix&gt;see &lt;/Prefix&gt;&lt;DisplayText&gt;(see McQuaid and Lindsay 2005)&lt;/DisplayText&gt;&lt;record&gt;&lt;rec-number&gt;1729&lt;/rec-number&gt;&lt;foreign-keys&gt;&lt;key app="EN" db-id="0r2ffr5x6st05beff5rper2ax9sw5d9w0vzp" timestamp="1401226006"&gt;1729&lt;/key&gt;&lt;/foreign-keys&gt;&lt;ref-type name="Journal Article"&gt;17&lt;/ref-type&gt;&lt;contributors&gt;&lt;authors&gt;&lt;author&gt;McQuaid,Ronald W&lt;/author&gt;&lt;author&gt;Colin Lindsay&lt;/author&gt;&lt;/authors&gt;&lt;/contributors&gt;&lt;titles&gt;&lt;title&gt;The Concept of Employability&lt;/title&gt;&lt;secondary-title&gt;Urban Studies&lt;/secondary-title&gt;&lt;/titles&gt;&lt;periodical&gt;&lt;full-title&gt;Urban Studies&lt;/full-title&gt;&lt;/periodical&gt;&lt;pages&gt;197-219&lt;/pages&gt;&lt;volume&gt;42&lt;/volume&gt;&lt;number&gt;2&lt;/number&gt;&lt;dates&gt;&lt;year&gt;2005&lt;/year&gt;&lt;/dates&gt;&lt;urls&gt;&lt;/urls&gt;&lt;electronic-resource-num&gt;10.1080/0042098042000316100&lt;/electronic-resource-num&gt;&lt;/record&gt;&lt;/Cite&gt;&lt;/EndNote&gt;</w:instrText>
      </w:r>
      <w:r w:rsidR="00390DAE">
        <w:fldChar w:fldCharType="separate"/>
      </w:r>
      <w:r w:rsidR="00390DAE">
        <w:rPr>
          <w:noProof/>
        </w:rPr>
        <w:t>(</w:t>
      </w:r>
      <w:hyperlink w:anchor="_ENREF_29" w:tooltip="McQuaid, 2005 #1729" w:history="1">
        <w:r w:rsidR="003242B5">
          <w:rPr>
            <w:noProof/>
          </w:rPr>
          <w:t>see McQuaid and Lindsay 2005</w:t>
        </w:r>
      </w:hyperlink>
      <w:r w:rsidR="00390DAE">
        <w:rPr>
          <w:noProof/>
        </w:rPr>
        <w:t>)</w:t>
      </w:r>
      <w:r w:rsidR="00390DAE">
        <w:fldChar w:fldCharType="end"/>
      </w:r>
      <w:r w:rsidR="00715378">
        <w:t xml:space="preserve">).  Employability was partly a matter of qualifications, but also reflected </w:t>
      </w:r>
      <w:r w:rsidRPr="004C48DF">
        <w:t>age</w:t>
      </w:r>
      <w:r w:rsidR="00715378">
        <w:t xml:space="preserve"> and </w:t>
      </w:r>
      <w:r w:rsidRPr="004C48DF">
        <w:t>language skills</w:t>
      </w:r>
      <w:r w:rsidR="00553A07">
        <w:t xml:space="preserve"> and a general difficulty in finding work in </w:t>
      </w:r>
      <w:r w:rsidRPr="004C48DF">
        <w:t>late 2009/early 2010.</w:t>
      </w:r>
      <w:r>
        <w:t xml:space="preserve">  Even those with some </w:t>
      </w:r>
      <w:r w:rsidR="00B276F8">
        <w:t xml:space="preserve">relevant </w:t>
      </w:r>
      <w:r>
        <w:t xml:space="preserve">skills/experience were sometimes concerned, </w:t>
      </w:r>
      <w:r w:rsidR="00553A07">
        <w:t xml:space="preserve">with </w:t>
      </w:r>
      <w:r>
        <w:t xml:space="preserve">Cheryl </w:t>
      </w:r>
      <w:r w:rsidR="00553A07">
        <w:t xml:space="preserve">having experience and a childcare diploma but still </w:t>
      </w:r>
      <w:r w:rsidR="008D1C45">
        <w:t xml:space="preserve">feeling </w:t>
      </w:r>
      <w:r w:rsidR="0003345C">
        <w:t>that</w:t>
      </w:r>
      <w:r w:rsidR="00E32EDF">
        <w:t xml:space="preserve"> childcare work is </w:t>
      </w:r>
      <w:r w:rsidR="00E32EDF" w:rsidRPr="00E32EDF">
        <w:rPr>
          <w:i/>
        </w:rPr>
        <w:t>“difficult because there’s lots of mum’s that want it</w:t>
      </w:r>
      <w:r w:rsidR="00E32EDF">
        <w:t>”</w:t>
      </w:r>
      <w:r>
        <w:t xml:space="preserve">.  This </w:t>
      </w:r>
      <w:r w:rsidR="00206201">
        <w:t xml:space="preserve">is also described by </w:t>
      </w:r>
      <w:r>
        <w:t xml:space="preserve">Beatty &amp; Fothergill, where </w:t>
      </w:r>
      <w:r w:rsidR="00206201">
        <w:t xml:space="preserve">the ‘hidden unemployed’ are formed of those </w:t>
      </w:r>
      <w:r>
        <w:t xml:space="preserve">with genuine impairments </w:t>
      </w:r>
      <w:r w:rsidR="00206201">
        <w:t xml:space="preserve">who </w:t>
      </w:r>
      <w:r>
        <w:t>find themselves out of work at times and places where there is a shortage of jobs</w:t>
      </w:r>
      <w:r w:rsidR="00553A07">
        <w:t>.</w:t>
      </w:r>
    </w:p>
    <w:p w14:paraId="66441846" w14:textId="323E5107" w:rsidR="002C4450" w:rsidRDefault="00553A07" w:rsidP="00947E73">
      <w:pPr>
        <w:spacing w:line="480" w:lineRule="auto"/>
      </w:pPr>
      <w:r>
        <w:t xml:space="preserve">But </w:t>
      </w:r>
      <w:r w:rsidR="002C4450">
        <w:t xml:space="preserve">there is more to it than this.  When people were moving jobs, they were not just trying to get </w:t>
      </w:r>
      <w:r w:rsidR="002C4450">
        <w:rPr>
          <w:i/>
        </w:rPr>
        <w:t xml:space="preserve">any </w:t>
      </w:r>
      <w:r w:rsidR="002C4450">
        <w:t xml:space="preserve">job, they were trying to get a </w:t>
      </w:r>
      <w:r w:rsidR="002C4450">
        <w:rPr>
          <w:i/>
        </w:rPr>
        <w:t>suitable</w:t>
      </w:r>
      <w:r w:rsidR="002C4450">
        <w:t xml:space="preserve"> job</w:t>
      </w:r>
      <w:r w:rsidR="00B276F8">
        <w:t>, one</w:t>
      </w:r>
      <w:r w:rsidR="002C4450">
        <w:t xml:space="preserve"> that did not conflict with their particular impairment</w:t>
      </w:r>
      <w:r w:rsidR="00206201">
        <w:t xml:space="preserve"> – and this does not feature in Beatty &amp; Fothergill’s account</w:t>
      </w:r>
      <w:r w:rsidR="00B276F8">
        <w:t>.  O</w:t>
      </w:r>
      <w:r w:rsidR="002C4450">
        <w:t>ften this meant changing career entirely</w:t>
      </w:r>
      <w:r w:rsidR="00B276F8">
        <w:t xml:space="preserve">, </w:t>
      </w:r>
      <w:r w:rsidR="002C4450">
        <w:t xml:space="preserve">to fields that did not match their experience </w:t>
      </w:r>
      <w:r w:rsidR="008D1C45">
        <w:t xml:space="preserve">or </w:t>
      </w:r>
      <w:r w:rsidR="002C4450">
        <w:t xml:space="preserve">qualifications, </w:t>
      </w:r>
      <w:r>
        <w:t xml:space="preserve">and </w:t>
      </w:r>
      <w:r w:rsidR="002C4450">
        <w:t xml:space="preserve">even higher-educated respondents could find </w:t>
      </w:r>
      <w:r>
        <w:t>this challenging</w:t>
      </w:r>
      <w:r w:rsidR="002C4450">
        <w:t xml:space="preserve">.  Elizabeth </w:t>
      </w:r>
      <w:r w:rsidR="00B276F8">
        <w:t>and Naveed both felt that changing careers in their 40s (from nursing and martial arts instruction</w:t>
      </w:r>
      <w:r>
        <w:t xml:space="preserve"> </w:t>
      </w:r>
      <w:r w:rsidRPr="00E32EDF">
        <w:t>respectively</w:t>
      </w:r>
      <w:r w:rsidR="00B276F8" w:rsidRPr="00E32EDF">
        <w:t xml:space="preserve">) </w:t>
      </w:r>
      <w:r w:rsidR="002C4450" w:rsidRPr="00E32EDF">
        <w:t xml:space="preserve">would be </w:t>
      </w:r>
      <w:r w:rsidR="00E32EDF" w:rsidRPr="00E32EDF">
        <w:t>hard</w:t>
      </w:r>
      <w:r w:rsidR="002C4450" w:rsidRPr="00E32EDF">
        <w:t xml:space="preserve">.  Nevertheless, while Naveed </w:t>
      </w:r>
      <w:r w:rsidR="00B276F8" w:rsidRPr="00E32EDF">
        <w:t xml:space="preserve">was worried </w:t>
      </w:r>
      <w:r w:rsidR="002C4450" w:rsidRPr="00E32EDF">
        <w:t xml:space="preserve">– </w:t>
      </w:r>
      <w:r w:rsidR="00E32EDF">
        <w:rPr>
          <w:i/>
        </w:rPr>
        <w:t>“</w:t>
      </w:r>
      <w:r w:rsidR="00E32EDF" w:rsidRPr="00E32EDF">
        <w:rPr>
          <w:i/>
        </w:rPr>
        <w:t>what other skills have I got to offer that would attract employers apart from the fact that I’m a graduate?</w:t>
      </w:r>
      <w:r w:rsidR="00E32EDF">
        <w:rPr>
          <w:i/>
        </w:rPr>
        <w:t>”</w:t>
      </w:r>
      <w:r w:rsidR="002C4450" w:rsidRPr="00E32EDF">
        <w:t xml:space="preserve"> – he </w:t>
      </w:r>
      <w:r w:rsidR="008D1C45" w:rsidRPr="00E32EDF">
        <w:t xml:space="preserve">was </w:t>
      </w:r>
      <w:r w:rsidR="00B276F8" w:rsidRPr="00E32EDF">
        <w:t>still</w:t>
      </w:r>
      <w:r w:rsidR="00B276F8">
        <w:t xml:space="preserve"> </w:t>
      </w:r>
      <w:r w:rsidR="008D1C45">
        <w:t xml:space="preserve">considering </w:t>
      </w:r>
      <w:r>
        <w:t xml:space="preserve">retraining in </w:t>
      </w:r>
      <w:r w:rsidR="002C4450">
        <w:t>social work if necessary.</w:t>
      </w:r>
    </w:p>
    <w:p w14:paraId="6B050749" w14:textId="2EC2921C" w:rsidR="0003345C" w:rsidRDefault="008D1C45" w:rsidP="00947E73">
      <w:pPr>
        <w:spacing w:line="480" w:lineRule="auto"/>
      </w:pPr>
      <w:r>
        <w:t xml:space="preserve">Better-qualified people may have been reluctant to change career, but </w:t>
      </w:r>
      <w:r w:rsidR="00B276F8">
        <w:t>the greatest difficulties were for</w:t>
      </w:r>
      <w:r>
        <w:t xml:space="preserve"> those with </w:t>
      </w:r>
      <w:r w:rsidR="00B276F8">
        <w:t>lower qualifications.</w:t>
      </w:r>
      <w:r w:rsidR="00C52D95">
        <w:t xml:space="preserve">  </w:t>
      </w:r>
      <w:r w:rsidR="0003345C">
        <w:t>Damian</w:t>
      </w:r>
      <w:r w:rsidR="00E32EDF">
        <w:t xml:space="preserve"> was a case in point.  His depression made him unable to </w:t>
      </w:r>
      <w:r w:rsidR="00E32EDF">
        <w:lastRenderedPageBreak/>
        <w:t xml:space="preserve">concentrate sufficiently to continue working </w:t>
      </w:r>
      <w:r w:rsidR="0003345C">
        <w:t xml:space="preserve">as an </w:t>
      </w:r>
      <w:r w:rsidR="00E32EDF">
        <w:t xml:space="preserve">electrician; </w:t>
      </w:r>
      <w:r w:rsidR="00E32EDF" w:rsidRPr="00E32EDF">
        <w:rPr>
          <w:i/>
        </w:rPr>
        <w:t xml:space="preserve">“I nearly killed a bunch of work mates just by not concentrating on my wiring of things.” </w:t>
      </w:r>
      <w:r w:rsidR="00E32EDF">
        <w:t xml:space="preserve"> While </w:t>
      </w:r>
      <w:r w:rsidR="0003345C">
        <w:t xml:space="preserve">it would have been </w:t>
      </w:r>
      <w:r w:rsidR="00553A07">
        <w:t xml:space="preserve">easy to </w:t>
      </w:r>
      <w:r w:rsidR="0003345C">
        <w:t xml:space="preserve">continue as an </w:t>
      </w:r>
      <w:r w:rsidR="0003345C" w:rsidRPr="00E32EDF">
        <w:t xml:space="preserve">electrician – he had friends working in the trade who kept offering him work – but the </w:t>
      </w:r>
      <w:r w:rsidR="00E32EDF" w:rsidRPr="00E32EDF">
        <w:t>wooziness</w:t>
      </w:r>
      <w:r w:rsidR="0003345C" w:rsidRPr="00E32EDF">
        <w:t xml:space="preserve"> from his medication </w:t>
      </w:r>
      <w:r w:rsidR="00553A07" w:rsidRPr="00E32EDF">
        <w:t>made this impossible</w:t>
      </w:r>
      <w:r w:rsidR="0003345C" w:rsidRPr="00E32EDF">
        <w:t xml:space="preserve">.  With no relevant experience or qualifications he was therefore looking for ‘menial </w:t>
      </w:r>
      <w:r w:rsidR="00E32EDF" w:rsidRPr="00E32EDF">
        <w:t>jobs’</w:t>
      </w:r>
      <w:r w:rsidR="0003345C" w:rsidRPr="00E32EDF">
        <w:t xml:space="preserve">, and </w:t>
      </w:r>
      <w:r w:rsidR="0003345C" w:rsidRPr="00E32EDF">
        <w:rPr>
          <w:i/>
        </w:rPr>
        <w:t>“</w:t>
      </w:r>
      <w:r w:rsidR="00E32EDF" w:rsidRPr="00E32EDF">
        <w:rPr>
          <w:i/>
        </w:rPr>
        <w:t xml:space="preserve">like a mug </w:t>
      </w:r>
      <w:r w:rsidR="00E32EDF">
        <w:rPr>
          <w:i/>
        </w:rPr>
        <w:t xml:space="preserve">[I was] </w:t>
      </w:r>
      <w:r w:rsidR="00E32EDF" w:rsidRPr="00E32EDF">
        <w:rPr>
          <w:i/>
        </w:rPr>
        <w:t xml:space="preserve">thinking I’m going to walk straight back into another job </w:t>
      </w:r>
      <w:r w:rsidR="00E32EDF">
        <w:rPr>
          <w:i/>
        </w:rPr>
        <w:t>[…]</w:t>
      </w:r>
      <w:r w:rsidR="00E32EDF" w:rsidRPr="00E32EDF">
        <w:rPr>
          <w:i/>
        </w:rPr>
        <w:t xml:space="preserve"> It was like everyone says, it’s not that easy at the moment.”</w:t>
      </w:r>
      <w:r w:rsidR="0003345C" w:rsidRPr="00E32EDF">
        <w:rPr>
          <w:i/>
        </w:rPr>
        <w:t xml:space="preserve"> </w:t>
      </w:r>
      <w:r w:rsidR="00E32EDF">
        <w:rPr>
          <w:i/>
        </w:rPr>
        <w:t xml:space="preserve"> </w:t>
      </w:r>
      <w:r w:rsidR="00C52D95" w:rsidRPr="00E32EDF">
        <w:t xml:space="preserve">This </w:t>
      </w:r>
      <w:r w:rsidR="0003345C" w:rsidRPr="00E32EDF">
        <w:t xml:space="preserve">left him </w:t>
      </w:r>
      <w:r w:rsidR="00C52D95" w:rsidRPr="00E32EDF">
        <w:t xml:space="preserve">in </w:t>
      </w:r>
      <w:r w:rsidR="0003345C" w:rsidRPr="00E32EDF">
        <w:t xml:space="preserve">a </w:t>
      </w:r>
      <w:r w:rsidR="00C52D95" w:rsidRPr="00E32EDF">
        <w:t xml:space="preserve">‘Catch-22 situation’ where </w:t>
      </w:r>
      <w:r w:rsidR="0003345C" w:rsidRPr="00E32EDF">
        <w:t xml:space="preserve">he was </w:t>
      </w:r>
      <w:r w:rsidR="00C52D95" w:rsidRPr="00E32EDF">
        <w:t xml:space="preserve">not employable enough to get the jobs </w:t>
      </w:r>
      <w:r w:rsidR="0003345C" w:rsidRPr="00E32EDF">
        <w:t xml:space="preserve">he was </w:t>
      </w:r>
      <w:r w:rsidR="00C52D95" w:rsidRPr="00E32EDF">
        <w:t xml:space="preserve">fit to do, and not fit enough to do the jobs </w:t>
      </w:r>
      <w:r w:rsidR="0003345C" w:rsidRPr="00E32EDF">
        <w:t xml:space="preserve">he </w:t>
      </w:r>
      <w:r w:rsidR="00C52D95" w:rsidRPr="00E32EDF">
        <w:t>could</w:t>
      </w:r>
      <w:r w:rsidR="00C52D95">
        <w:t xml:space="preserve"> get.  </w:t>
      </w:r>
    </w:p>
    <w:p w14:paraId="5A84B2F4" w14:textId="3024965F" w:rsidR="00C52D95" w:rsidRPr="004C48DF" w:rsidRDefault="00C52D95" w:rsidP="00947E73">
      <w:pPr>
        <w:spacing w:line="480" w:lineRule="auto"/>
      </w:pPr>
      <w:r>
        <w:t xml:space="preserve">Ali </w:t>
      </w:r>
      <w:r w:rsidR="008D1C45">
        <w:t xml:space="preserve">also </w:t>
      </w:r>
      <w:r w:rsidR="00553A07">
        <w:t xml:space="preserve">fell into </w:t>
      </w:r>
      <w:r>
        <w:t xml:space="preserve">this </w:t>
      </w:r>
      <w:r w:rsidR="0003345C">
        <w:t>Catch-22</w:t>
      </w:r>
      <w:r>
        <w:t xml:space="preserve">.  His previous work as a chef in an Indian restaurant was now too physically demanding, and he had to try and find a job despite his poor English language skills and lack of qualifications: </w:t>
      </w:r>
    </w:p>
    <w:p w14:paraId="2FD22245" w14:textId="77777777" w:rsidR="00C52D95" w:rsidRPr="004C48DF" w:rsidRDefault="00C52D95" w:rsidP="00947E73">
      <w:pPr>
        <w:pStyle w:val="Quote"/>
        <w:spacing w:line="480" w:lineRule="auto"/>
      </w:pPr>
      <w:r w:rsidRPr="000C6D55">
        <w:t>“If I got a good education</w:t>
      </w:r>
      <w:r>
        <w:t>,</w:t>
      </w:r>
      <w:r w:rsidRPr="000C6D55">
        <w:t xml:space="preserve"> then I </w:t>
      </w:r>
      <w:r>
        <w:t xml:space="preserve">got </w:t>
      </w:r>
      <w:r w:rsidRPr="000C6D55">
        <w:t>a choice</w:t>
      </w:r>
      <w:r>
        <w:t>, I can do [chef work] or not, take it or leave it</w:t>
      </w:r>
      <w:r w:rsidRPr="000C6D55">
        <w:t>.  Because I haven’t got any education</w:t>
      </w:r>
      <w:r>
        <w:t>.</w:t>
      </w:r>
      <w:r w:rsidRPr="000C6D55">
        <w:t xml:space="preserve"> I have to do it” </w:t>
      </w:r>
    </w:p>
    <w:p w14:paraId="2B796C90" w14:textId="1CA2E46F" w:rsidR="00C52D95" w:rsidRDefault="00C52D95" w:rsidP="00947E73">
      <w:pPr>
        <w:spacing w:line="480" w:lineRule="auto"/>
      </w:pPr>
      <w:r>
        <w:t xml:space="preserve">He was therefore resigned to claiming incapacity benefits, until whichever among death and retirement came first. </w:t>
      </w:r>
      <w:r w:rsidR="008D1C45">
        <w:t xml:space="preserve">Similar binds also applied to some lower-qualified </w:t>
      </w:r>
      <w:r w:rsidR="00E32EDF">
        <w:t xml:space="preserve">workers who </w:t>
      </w:r>
      <w:r w:rsidR="008D1C45">
        <w:t xml:space="preserve">were struggling and unable to </w:t>
      </w:r>
      <w:r w:rsidR="0003345C">
        <w:t>change to a more suitable job, as we explore further below.</w:t>
      </w:r>
    </w:p>
    <w:p w14:paraId="3E76CCA3" w14:textId="79EFCF84" w:rsidR="0003345C" w:rsidRPr="0003345C" w:rsidRDefault="0003345C" w:rsidP="00947E73">
      <w:pPr>
        <w:spacing w:line="480" w:lineRule="auto"/>
      </w:pPr>
      <w:r>
        <w:t xml:space="preserve">Yet </w:t>
      </w:r>
      <w:r w:rsidR="00B036FF">
        <w:t xml:space="preserve">it </w:t>
      </w:r>
      <w:r>
        <w:t xml:space="preserve">is not as simple as saying that </w:t>
      </w:r>
      <w:r w:rsidR="00A15C68">
        <w:t xml:space="preserve">all </w:t>
      </w:r>
      <w:r>
        <w:t>higher-educated people could find suitable work while lower-educated people could not.</w:t>
      </w:r>
      <w:r w:rsidR="00B036FF">
        <w:t xml:space="preserve">  Irrespective of people’s level of education, if their impairment still allowed them to do work that used use some of their previous skills, then </w:t>
      </w:r>
      <w:r w:rsidR="008D1C45">
        <w:t xml:space="preserve">it was easier to find </w:t>
      </w:r>
      <w:r w:rsidR="00B036FF">
        <w:t xml:space="preserve">suitable work.  This applied to several people who wanted to do less stressful versions of their previous jobs, </w:t>
      </w:r>
      <w:r w:rsidR="008D1C45">
        <w:t xml:space="preserve">such as </w:t>
      </w:r>
      <w:r w:rsidR="00B036FF">
        <w:t xml:space="preserve">Scott and Steve </w:t>
      </w:r>
      <w:r w:rsidR="008D1C45">
        <w:t xml:space="preserve">who expected </w:t>
      </w:r>
      <w:r w:rsidR="00B036FF">
        <w:t xml:space="preserve">to find voluntary-sector IT roles at a much lower level of intensity.  In contrast, </w:t>
      </w:r>
      <w:r w:rsidR="00553A07">
        <w:t xml:space="preserve">better-educated </w:t>
      </w:r>
      <w:r w:rsidR="00B036FF">
        <w:t xml:space="preserve">people </w:t>
      </w:r>
      <w:r w:rsidR="006833AE">
        <w:t xml:space="preserve">in the sample </w:t>
      </w:r>
      <w:r w:rsidR="00B036FF">
        <w:t xml:space="preserve">with </w:t>
      </w:r>
      <w:r w:rsidR="00E32EDF">
        <w:t xml:space="preserve">more </w:t>
      </w:r>
      <w:r w:rsidR="00B036FF">
        <w:t xml:space="preserve">severe </w:t>
      </w:r>
      <w:r w:rsidR="00B036FF">
        <w:lastRenderedPageBreak/>
        <w:t xml:space="preserve">disabilities were </w:t>
      </w:r>
      <w:r w:rsidR="00553A07">
        <w:t xml:space="preserve">still </w:t>
      </w:r>
      <w:r w:rsidR="00B036FF">
        <w:t xml:space="preserve">unlikely to find suitable work.  Disability discrimination was also widely-reported, with many </w:t>
      </w:r>
      <w:r w:rsidR="00E32EDF">
        <w:t xml:space="preserve">reporting that no-one would </w:t>
      </w:r>
      <w:r w:rsidR="00523BC2">
        <w:t>employ them if they revealed their disability</w:t>
      </w:r>
      <w:r w:rsidR="00E40E4A">
        <w:t>.</w:t>
      </w:r>
    </w:p>
    <w:p w14:paraId="0F2A43C8" w14:textId="674BBE82" w:rsidR="0003345C" w:rsidRDefault="008D1C45" w:rsidP="00947E73">
      <w:pPr>
        <w:spacing w:line="480" w:lineRule="auto"/>
      </w:pPr>
      <w:r w:rsidRPr="00A529C0">
        <w:t>Finding suitable work also had an element of chance</w:t>
      </w:r>
      <w:r w:rsidR="00E40E4A" w:rsidRPr="00A529C0">
        <w:t>.  Redeployment, for example, was only possible in certain large employers</w:t>
      </w:r>
      <w:r w:rsidR="00553A07" w:rsidRPr="00A529C0">
        <w:t xml:space="preserve"> such as the police force</w:t>
      </w:r>
      <w:r w:rsidR="00E40E4A" w:rsidRPr="00A529C0">
        <w:t xml:space="preserve">; </w:t>
      </w:r>
      <w:r w:rsidR="00553A07" w:rsidRPr="00A529C0">
        <w:t xml:space="preserve">Helen </w:t>
      </w:r>
      <w:r w:rsidR="00E40E4A" w:rsidRPr="00A529C0">
        <w:t xml:space="preserve">said that otherwise </w:t>
      </w:r>
      <w:r w:rsidR="00E40E4A" w:rsidRPr="00A529C0">
        <w:rPr>
          <w:i/>
        </w:rPr>
        <w:t>“</w:t>
      </w:r>
      <w:r w:rsidR="00A529C0" w:rsidRPr="00A529C0">
        <w:rPr>
          <w:i/>
        </w:rPr>
        <w:t xml:space="preserve">I’d be out of work.  </w:t>
      </w:r>
      <w:r w:rsidR="00E40E4A" w:rsidRPr="00A529C0">
        <w:rPr>
          <w:i/>
        </w:rPr>
        <w:t xml:space="preserve">I don't think anyone </w:t>
      </w:r>
      <w:r w:rsidR="00A529C0" w:rsidRPr="00A529C0">
        <w:rPr>
          <w:i/>
        </w:rPr>
        <w:t xml:space="preserve">would </w:t>
      </w:r>
      <w:r w:rsidR="00E40E4A" w:rsidRPr="00A529C0">
        <w:rPr>
          <w:i/>
        </w:rPr>
        <w:t xml:space="preserve">employ me </w:t>
      </w:r>
      <w:r w:rsidR="00A529C0" w:rsidRPr="00A529C0">
        <w:rPr>
          <w:i/>
        </w:rPr>
        <w:t xml:space="preserve">with </w:t>
      </w:r>
      <w:r w:rsidR="00E40E4A" w:rsidRPr="00A529C0">
        <w:rPr>
          <w:i/>
        </w:rPr>
        <w:t>my medical history</w:t>
      </w:r>
      <w:r w:rsidR="00A529C0" w:rsidRPr="00A529C0">
        <w:rPr>
          <w:i/>
        </w:rPr>
        <w:t>.</w:t>
      </w:r>
      <w:r w:rsidR="00E40E4A" w:rsidRPr="00A529C0">
        <w:rPr>
          <w:i/>
        </w:rPr>
        <w:t>”</w:t>
      </w:r>
      <w:r w:rsidR="00E40E4A" w:rsidRPr="00A529C0">
        <w:t xml:space="preserve">  Perhaps the luckiest people, though, were where someone else found them an unusually understanding employer.  Ricardo’s exceptional caretaking job (above) was found for him through a </w:t>
      </w:r>
      <w:r w:rsidR="008760FC" w:rsidRPr="00A529C0">
        <w:t>church friend</w:t>
      </w:r>
      <w:r w:rsidR="00E40E4A" w:rsidRPr="00A529C0">
        <w:t xml:space="preserve">; Yusuf’s </w:t>
      </w:r>
      <w:r w:rsidRPr="00A529C0">
        <w:t xml:space="preserve">sympathetic </w:t>
      </w:r>
      <w:r w:rsidR="00E40E4A" w:rsidRPr="00A529C0">
        <w:t xml:space="preserve">cleaning job by his welfare-to-work provider; and </w:t>
      </w:r>
      <w:r w:rsidRPr="00A529C0">
        <w:t xml:space="preserve">it was </w:t>
      </w:r>
      <w:r w:rsidR="00E40E4A" w:rsidRPr="00A529C0">
        <w:t xml:space="preserve">Cheryl’s </w:t>
      </w:r>
      <w:r w:rsidRPr="00A529C0">
        <w:t>mother</w:t>
      </w:r>
      <w:r>
        <w:t xml:space="preserve"> who found her a job that eased her </w:t>
      </w:r>
      <w:r w:rsidR="00553A07">
        <w:t xml:space="preserve">back to work </w:t>
      </w:r>
      <w:r>
        <w:t>gently, working only until lunchtime until she felt capable of doing more</w:t>
      </w:r>
      <w:r w:rsidR="00E40E4A">
        <w:t>:</w:t>
      </w:r>
    </w:p>
    <w:p w14:paraId="159A05E9" w14:textId="347C5F7D" w:rsidR="00E40E4A" w:rsidRPr="0003345C" w:rsidRDefault="00E40E4A" w:rsidP="00947E73">
      <w:pPr>
        <w:pStyle w:val="Quote"/>
        <w:spacing w:line="480" w:lineRule="auto"/>
      </w:pPr>
      <w:r w:rsidRPr="00A529C0">
        <w:t>“[The job] fell in my lap</w:t>
      </w:r>
      <w:r w:rsidR="00E32EDF" w:rsidRPr="00A529C0">
        <w:t xml:space="preserve"> really</w:t>
      </w:r>
      <w:r w:rsidRPr="00A529C0">
        <w:t>. I didn't actively go out, my mum phoned me one day and she said 'We need some temps' [...]</w:t>
      </w:r>
      <w:r w:rsidR="00A529C0">
        <w:t xml:space="preserve">  …w</w:t>
      </w:r>
      <w:r w:rsidR="00E32EDF" w:rsidRPr="00A529C0">
        <w:t>hen I had to go home, and I had to go home because I was just getting in a state, it was, “Fine, go on, off you go.”</w:t>
      </w:r>
      <w:r w:rsidR="00A529C0" w:rsidRPr="00A529C0">
        <w:t xml:space="preserve"> […] </w:t>
      </w:r>
      <w:r w:rsidR="008D1C45" w:rsidRPr="00A529C0">
        <w:t>I’m thankful</w:t>
      </w:r>
      <w:r w:rsidRPr="00A529C0">
        <w:t xml:space="preserve"> for that because I don't know how I would get</w:t>
      </w:r>
      <w:r w:rsidR="00A529C0" w:rsidRPr="00A529C0">
        <w:t xml:space="preserve"> back into employment otherwise</w:t>
      </w:r>
      <w:r w:rsidRPr="00A529C0">
        <w:t>”</w:t>
      </w:r>
    </w:p>
    <w:p w14:paraId="5CEDCCFC" w14:textId="67EDB0BB" w:rsidR="006866B3" w:rsidRDefault="00E40E4A" w:rsidP="00947E73">
      <w:pPr>
        <w:spacing w:line="480" w:lineRule="auto"/>
      </w:pPr>
      <w:r>
        <w:t xml:space="preserve">Cheryl, Yusuf, Ricardo and Helen </w:t>
      </w:r>
      <w:r w:rsidR="00B1354B">
        <w:t xml:space="preserve">all recognised their good fortune in finding </w:t>
      </w:r>
      <w:r w:rsidR="008760FC">
        <w:t>suitable jobs</w:t>
      </w:r>
      <w:r w:rsidR="00B1354B">
        <w:t>.  Without this,</w:t>
      </w:r>
      <w:r w:rsidR="008D1C45">
        <w:t xml:space="preserve"> they all </w:t>
      </w:r>
      <w:r w:rsidR="00B1354B">
        <w:t xml:space="preserve">expected to face </w:t>
      </w:r>
      <w:r w:rsidR="00523BC2">
        <w:t xml:space="preserve">the </w:t>
      </w:r>
      <w:r>
        <w:t>Catch-22</w:t>
      </w:r>
      <w:r w:rsidR="00523BC2">
        <w:t xml:space="preserve"> of not </w:t>
      </w:r>
      <w:r w:rsidR="008D1C45">
        <w:t xml:space="preserve">being </w:t>
      </w:r>
      <w:r w:rsidR="00523BC2">
        <w:t xml:space="preserve">employable enough to get the jobs they were fit to do, and not fit enough to do the jobs they could get.  </w:t>
      </w:r>
    </w:p>
    <w:p w14:paraId="2B416AE6" w14:textId="77777777" w:rsidR="008760FC" w:rsidRDefault="008760FC" w:rsidP="00947E73">
      <w:pPr>
        <w:spacing w:line="480" w:lineRule="auto"/>
      </w:pPr>
    </w:p>
    <w:p w14:paraId="39C9DFE8" w14:textId="682D16EC" w:rsidR="00D42990" w:rsidRDefault="00D42990" w:rsidP="00947E73">
      <w:pPr>
        <w:pStyle w:val="Heading3"/>
        <w:spacing w:line="480" w:lineRule="auto"/>
      </w:pPr>
      <w:r>
        <w:t>Choice</w:t>
      </w:r>
      <w:r w:rsidR="008C3C1E">
        <w:t xml:space="preserve"> and</w:t>
      </w:r>
      <w:r w:rsidR="008760FC">
        <w:t xml:space="preserve"> </w:t>
      </w:r>
      <w:r>
        <w:t>constraint</w:t>
      </w:r>
    </w:p>
    <w:p w14:paraId="6EC7D9FE" w14:textId="0A957DDE" w:rsidR="00306633" w:rsidRDefault="00C211FE" w:rsidP="00947E73">
      <w:pPr>
        <w:spacing w:line="480" w:lineRule="auto"/>
      </w:pPr>
      <w:r>
        <w:t xml:space="preserve">The analysis in this paper has suggested that </w:t>
      </w:r>
      <w:r w:rsidR="00A15C68">
        <w:t xml:space="preserve">some </w:t>
      </w:r>
      <w:r>
        <w:t>people with impairments</w:t>
      </w:r>
      <w:r w:rsidR="00A15C68">
        <w:t xml:space="preserve"> were able to find </w:t>
      </w:r>
      <w:r>
        <w:t>non-disabling work environments, through job flexibility</w:t>
      </w:r>
      <w:r w:rsidR="00A15C68">
        <w:t xml:space="preserve">, job adjustments, or moving </w:t>
      </w:r>
      <w:r>
        <w:t xml:space="preserve">to a more suitable job.  However, this did not result in a black-and-white situation where </w:t>
      </w:r>
      <w:r w:rsidR="007E698F">
        <w:t xml:space="preserve">people were either fully fit-for-work or fully </w:t>
      </w:r>
      <w:r>
        <w:t xml:space="preserve">incapacitated.  Instead there was a sizeable grey area </w:t>
      </w:r>
      <w:r w:rsidR="007E698F">
        <w:t xml:space="preserve">where people were ‘struggling on’ </w:t>
      </w:r>
      <w:r w:rsidR="00390DAE">
        <w:fldChar w:fldCharType="begin"/>
      </w:r>
      <w:r w:rsidR="00390DAE">
        <w:instrText xml:space="preserve"> ADDIN EN.CITE &lt;EndNote&gt;&lt;Cite&gt;&lt;Author&gt;Sainsbury&lt;/Author&gt;&lt;Year&gt;2006&lt;/Year&gt;&lt;RecNum&gt;143&lt;/RecNum&gt;&lt;DisplayText&gt;(Sainsbury and Davidson 2006)&lt;/DisplayText&gt;&lt;record&gt;&lt;rec-number&gt;143&lt;/rec-number&gt;&lt;foreign-keys&gt;&lt;key app="EN" db-id="0r2ffr5x6st05beff5rper2ax9sw5d9w0vzp" timestamp="0"&gt;143&lt;/key&gt;&lt;/foreign-keys&gt;&lt;ref-type name="Report"&gt;27&lt;/ref-type&gt;&lt;contributors&gt;&lt;authors&gt;&lt;author&gt;Sainsbury,Roy&lt;/author&gt;&lt;author&gt;Davidson,Jacqueline&lt;/author&gt;&lt;/authors&gt;&lt;/contributors&gt;&lt;titles&gt;&lt;title&gt;Routes onto incapacity benefits: Findings from qualitative research&lt;/title&gt;&lt;secondary-title&gt;Department for Work and Pensions Research Report No 350&lt;/secondary-title&gt;&lt;/titles&gt;&lt;keywords&gt;&lt;keyword&gt;job demands&lt;/keyword&gt;&lt;keyword&gt;job control&lt;/keyword&gt;&lt;keyword&gt;labour demand - health&lt;/keyword&gt;&lt;/keywords&gt;&lt;dates&gt;&lt;year&gt;2006&lt;/year&gt;&lt;/dates&gt;&lt;pub-location&gt;Leeds&lt;/pub-location&gt;&lt;publisher&gt;Corporate Document Services&lt;/publisher&gt;&lt;urls&gt;&lt;related-urls&gt;&lt;url&gt;http://www.dwp.gov.uk/asd/asd5/rports2005-2006/rrep350.pdf&lt;/url&gt;&lt;/related-urls&gt;&lt;/urls&gt;&lt;custom1&gt;Read&lt;/custom1&gt;&lt;custom3&gt;UK&lt;/custom3&gt;&lt;/record&gt;&lt;/Cite&gt;&lt;/EndNote&gt;</w:instrText>
      </w:r>
      <w:r w:rsidR="00390DAE">
        <w:fldChar w:fldCharType="separate"/>
      </w:r>
      <w:r w:rsidR="00390DAE">
        <w:rPr>
          <w:noProof/>
        </w:rPr>
        <w:t>(</w:t>
      </w:r>
      <w:hyperlink w:anchor="_ENREF_37" w:tooltip="Sainsbury, 2006 #143" w:history="1">
        <w:r w:rsidR="003242B5">
          <w:rPr>
            <w:noProof/>
          </w:rPr>
          <w:t>Sainsbury and Davidson 2006</w:t>
        </w:r>
      </w:hyperlink>
      <w:r w:rsidR="00390DAE">
        <w:rPr>
          <w:noProof/>
        </w:rPr>
        <w:t>)</w:t>
      </w:r>
      <w:r w:rsidR="00390DAE">
        <w:fldChar w:fldCharType="end"/>
      </w:r>
      <w:r w:rsidR="007E698F">
        <w:t xml:space="preserve"> with impairments that partially interfered with their </w:t>
      </w:r>
      <w:r w:rsidR="007E698F">
        <w:lastRenderedPageBreak/>
        <w:t xml:space="preserve">job.  This introduces the possibility of further inequalities in the extent to which are allowed to </w:t>
      </w:r>
      <w:r w:rsidR="001A62EC">
        <w:t xml:space="preserve">– and feel compelled to – </w:t>
      </w:r>
      <w:r w:rsidR="007E698F">
        <w:t xml:space="preserve">struggle on. </w:t>
      </w:r>
    </w:p>
    <w:p w14:paraId="78324822" w14:textId="5E69A1B4" w:rsidR="007A526F" w:rsidRPr="004C48DF" w:rsidRDefault="00E2581E" w:rsidP="00947E73">
      <w:pPr>
        <w:spacing w:line="480" w:lineRule="auto"/>
      </w:pPr>
      <w:r>
        <w:t>Some inequalities were around whether e</w:t>
      </w:r>
      <w:r w:rsidR="001A62EC">
        <w:t>mployers</w:t>
      </w:r>
      <w:r>
        <w:t xml:space="preserve"> </w:t>
      </w:r>
      <w:r w:rsidR="001A62EC">
        <w:t xml:space="preserve">would </w:t>
      </w:r>
      <w:r w:rsidR="007E698F">
        <w:t xml:space="preserve">accept sickness absence and/or reduced performance.  </w:t>
      </w:r>
      <w:r>
        <w:t xml:space="preserve">While </w:t>
      </w:r>
      <w:r w:rsidR="007E698F">
        <w:t xml:space="preserve">this varied </w:t>
      </w:r>
      <w:r w:rsidR="001A62EC">
        <w:t xml:space="preserve">from </w:t>
      </w:r>
      <w:r w:rsidR="007E698F">
        <w:t xml:space="preserve">manager-to-manager, </w:t>
      </w:r>
      <w:r>
        <w:t>e</w:t>
      </w:r>
      <w:r w:rsidR="007A526F">
        <w:t xml:space="preserve">mployers </w:t>
      </w:r>
      <w:r>
        <w:t xml:space="preserve">generally </w:t>
      </w:r>
      <w:r w:rsidR="007A526F">
        <w:t xml:space="preserve">seemed sympathetic for </w:t>
      </w:r>
      <w:r w:rsidR="00A15C68">
        <w:t xml:space="preserve">temporary sickness </w:t>
      </w:r>
      <w:r w:rsidR="007A526F">
        <w:t xml:space="preserve">(such as an operation), </w:t>
      </w:r>
      <w:r w:rsidR="007E698F">
        <w:t xml:space="preserve">but less so for </w:t>
      </w:r>
      <w:r w:rsidR="00A15C68">
        <w:t>chronic disability (</w:t>
      </w:r>
      <w:r w:rsidR="007A526F">
        <w:t xml:space="preserve">long-term </w:t>
      </w:r>
      <w:r w:rsidR="00A15C68">
        <w:t xml:space="preserve">or </w:t>
      </w:r>
      <w:r w:rsidR="007A526F" w:rsidRPr="004C48DF">
        <w:t>repeated short-term absences</w:t>
      </w:r>
      <w:r w:rsidR="00A15C68">
        <w:t xml:space="preserve">).  </w:t>
      </w:r>
      <w:r w:rsidR="007A526F" w:rsidRPr="004C48DF">
        <w:t xml:space="preserve">Melanie </w:t>
      </w:r>
      <w:r w:rsidR="007A526F">
        <w:t>was not alone in feeling pressures to minimi</w:t>
      </w:r>
      <w:r w:rsidR="00934AE0">
        <w:t>z</w:t>
      </w:r>
      <w:r w:rsidR="007A526F">
        <w:t>e absence</w:t>
      </w:r>
      <w:r w:rsidR="00087394">
        <w:t>:</w:t>
      </w:r>
    </w:p>
    <w:p w14:paraId="3C0643B4" w14:textId="0B8FC5D1" w:rsidR="007A526F" w:rsidRPr="004C48DF" w:rsidRDefault="007A526F" w:rsidP="00947E73">
      <w:pPr>
        <w:pStyle w:val="Quote"/>
        <w:spacing w:line="480" w:lineRule="auto"/>
      </w:pPr>
      <w:r w:rsidRPr="000C6D55">
        <w:t>“You’re</w:t>
      </w:r>
      <w:r>
        <w:t xml:space="preserve"> just</w:t>
      </w:r>
      <w:r w:rsidRPr="000C6D55">
        <w:t xml:space="preserve"> forever getting warnings when</w:t>
      </w:r>
      <w:r>
        <w:t xml:space="preserve">ever you’re </w:t>
      </w:r>
      <w:r w:rsidRPr="000C6D55">
        <w:t xml:space="preserve">sick... When an ambulance is called to work [after going </w:t>
      </w:r>
      <w:r w:rsidR="008D1C45">
        <w:t>into a diabetic coma</w:t>
      </w:r>
      <w:r w:rsidRPr="000C6D55">
        <w:t xml:space="preserve">], I won’t let them take me away </w:t>
      </w:r>
      <w:r>
        <w:t xml:space="preserve">because </w:t>
      </w:r>
      <w:r w:rsidRPr="000C6D55">
        <w:t xml:space="preserve">that </w:t>
      </w:r>
      <w:r>
        <w:t xml:space="preserve">will by my </w:t>
      </w:r>
      <w:r w:rsidRPr="000C6D55">
        <w:t xml:space="preserve">percentage [that monitors absence] </w:t>
      </w:r>
      <w:r>
        <w:t xml:space="preserve">gone </w:t>
      </w:r>
      <w:r w:rsidRPr="000C6D55">
        <w:t>up again</w:t>
      </w:r>
      <w:r>
        <w:t>…So i</w:t>
      </w:r>
      <w:r w:rsidRPr="000C6D55">
        <w:t>t’s not a good place to be”</w:t>
      </w:r>
    </w:p>
    <w:p w14:paraId="67D7CA53" w14:textId="18D3C3B5" w:rsidR="007A526F" w:rsidRDefault="001A62EC" w:rsidP="00947E73">
      <w:pPr>
        <w:spacing w:line="480" w:lineRule="auto"/>
      </w:pPr>
      <w:r>
        <w:t>Moreover</w:t>
      </w:r>
      <w:r w:rsidR="00087394">
        <w:t xml:space="preserve">, sickness absence policies </w:t>
      </w:r>
      <w:r w:rsidR="00E2581E">
        <w:t xml:space="preserve">were a way </w:t>
      </w:r>
      <w:r w:rsidR="00087394">
        <w:t>dealing with poor performance.  N</w:t>
      </w:r>
      <w:r w:rsidR="007A526F">
        <w:t xml:space="preserve">o-one </w:t>
      </w:r>
      <w:r w:rsidR="00390DAE">
        <w:fldChar w:fldCharType="begin"/>
      </w:r>
      <w:r w:rsidR="00390DAE">
        <w:instrText xml:space="preserve"> ADDIN EN.CITE &lt;EndNote&gt;&lt;Cite&gt;&lt;Author&gt;Sainsbury&lt;/Author&gt;&lt;Year&gt;2008&lt;/Year&gt;&lt;RecNum&gt;731&lt;/RecNum&gt;&lt;Prefix&gt;at least in this sample`, but see &lt;/Prefix&gt;&lt;DisplayText&gt;(at least in this sample, but see Sainsbury et al. 2008)&lt;/DisplayText&gt;&lt;record&gt;&lt;rec-number&gt;731&lt;/rec-number&gt;&lt;foreign-keys&gt;&lt;key app="EN" db-id="0r2ffr5x6st05beff5rper2ax9sw5d9w0vzp" timestamp="0"&gt;731&lt;/key&gt;&lt;/foreign-keys&gt;&lt;ref-type name="Report"&gt;27&lt;/ref-type&gt;&lt;contributors&gt;&lt;authors&gt;&lt;author&gt;Roy Sainsbury&lt;/author&gt;&lt;author&gt;Annie Irvine&lt;/author&gt;&lt;author&gt;Jane Aston&lt;/author&gt;&lt;author&gt;Sally Wilson&lt;/author&gt;&lt;author&gt;Ceri Williams&lt;/author&gt;&lt;author&gt;Alice Sinclair&lt;/author&gt;&lt;/authors&gt;&lt;/contributors&gt;&lt;titles&gt;&lt;title&gt;Mental health and employment&lt;/title&gt;&lt;secondary-title&gt;Department for Work and Pensions Research Report No 513&lt;/secondary-title&gt;&lt;/titles&gt;&lt;dates&gt;&lt;year&gt;2008&lt;/year&gt;&lt;/dates&gt;&lt;urls&gt;&lt;related-urls&gt;&lt;url&gt;http://193.129.121.133/asd/asd5/rports2007-2008/rrep513.pdf [accessed 16/6/2011]&lt;/url&gt;&lt;/related-urls&gt;&lt;/urls&gt;&lt;custom1&gt;Read&lt;/custom1&gt;&lt;/record&gt;&lt;/Cite&gt;&lt;/EndNote&gt;</w:instrText>
      </w:r>
      <w:r w:rsidR="00390DAE">
        <w:fldChar w:fldCharType="separate"/>
      </w:r>
      <w:r w:rsidR="00390DAE">
        <w:rPr>
          <w:noProof/>
        </w:rPr>
        <w:t>(</w:t>
      </w:r>
      <w:hyperlink w:anchor="_ENREF_38" w:tooltip="Sainsbury, 2008 #731" w:history="1">
        <w:r w:rsidR="003242B5">
          <w:rPr>
            <w:noProof/>
          </w:rPr>
          <w:t>at least in this sample, but see Sainsbury et al. 2008</w:t>
        </w:r>
      </w:hyperlink>
      <w:r w:rsidR="00390DAE">
        <w:rPr>
          <w:noProof/>
        </w:rPr>
        <w:t>)</w:t>
      </w:r>
      <w:r w:rsidR="00390DAE">
        <w:fldChar w:fldCharType="end"/>
      </w:r>
      <w:r w:rsidR="007A526F">
        <w:t xml:space="preserve"> was sacked directly </w:t>
      </w:r>
      <w:r w:rsidR="00087394">
        <w:t xml:space="preserve">on performance grounds, but </w:t>
      </w:r>
      <w:r w:rsidR="007A526F">
        <w:t xml:space="preserve">poor performance </w:t>
      </w:r>
      <w:r w:rsidR="00087394">
        <w:t xml:space="preserve">instead </w:t>
      </w:r>
      <w:r w:rsidR="007A526F">
        <w:t xml:space="preserve">could be </w:t>
      </w:r>
      <w:r w:rsidR="007A526F">
        <w:rPr>
          <w:i/>
        </w:rPr>
        <w:t xml:space="preserve">transformed into </w:t>
      </w:r>
      <w:r w:rsidR="007A526F" w:rsidRPr="00943AD1">
        <w:t xml:space="preserve">a </w:t>
      </w:r>
      <w:r w:rsidR="007A526F">
        <w:t xml:space="preserve">problem of </w:t>
      </w:r>
      <w:r w:rsidR="007A526F" w:rsidRPr="00943AD1">
        <w:t>absence</w:t>
      </w:r>
      <w:r w:rsidR="00087394">
        <w:t xml:space="preserve"> </w:t>
      </w:r>
      <w:r>
        <w:t xml:space="preserve">by applying continual </w:t>
      </w:r>
      <w:r w:rsidR="007A526F" w:rsidRPr="004C48DF">
        <w:t xml:space="preserve">pressure.  </w:t>
      </w:r>
      <w:r w:rsidR="007A526F">
        <w:t xml:space="preserve">For example, </w:t>
      </w:r>
      <w:r w:rsidR="007A526F" w:rsidRPr="004C48DF">
        <w:t xml:space="preserve">Sarah suspected that pressure – which she experienced as ‘bullying’ – was being deliberately applied to her in order </w:t>
      </w:r>
      <w:r w:rsidR="00A529C0">
        <w:t>for her to take sickness absence</w:t>
      </w:r>
      <w:r w:rsidR="007A526F" w:rsidRPr="004C48DF">
        <w:t>, a tactic t</w:t>
      </w:r>
      <w:r w:rsidR="00087394">
        <w:t xml:space="preserve">hat was ultimately successful.  </w:t>
      </w:r>
    </w:p>
    <w:p w14:paraId="78D08630" w14:textId="0AE5ED07" w:rsidR="00720E10" w:rsidRDefault="00720E10" w:rsidP="00947E73">
      <w:pPr>
        <w:spacing w:line="480" w:lineRule="auto"/>
      </w:pPr>
      <w:r>
        <w:t xml:space="preserve">Some </w:t>
      </w:r>
      <w:r w:rsidR="001A62EC">
        <w:t xml:space="preserve">struggling </w:t>
      </w:r>
      <w:r>
        <w:t>workers therefore had decisions taken out of their hands</w:t>
      </w:r>
      <w:r w:rsidR="001A62EC">
        <w:t xml:space="preserve">.  The remainder </w:t>
      </w:r>
      <w:r>
        <w:t xml:space="preserve">had to decide whether to accept </w:t>
      </w:r>
      <w:r w:rsidR="00087394">
        <w:t>the physical and psychological burden of struggling</w:t>
      </w:r>
      <w:r>
        <w:t xml:space="preserve"> </w:t>
      </w:r>
      <w:r w:rsidR="00390DAE">
        <w:fldChar w:fldCharType="begin"/>
      </w:r>
      <w:r w:rsidR="00390DAE">
        <w:instrText xml:space="preserve"> ADDIN EN.CITE &lt;EndNote&gt;&lt;Cite&gt;&lt;Author&gt;Wilton&lt;/Author&gt;&lt;Year&gt;2008&lt;/Year&gt;&lt;RecNum&gt;679&lt;/RecNum&gt;&lt;DisplayText&gt;(Wilton 2008)&lt;/DisplayText&gt;&lt;record&gt;&lt;rec-number&gt;679&lt;/rec-number&gt;&lt;foreign-keys&gt;&lt;key app="EN" db-id="0r2ffr5x6st05beff5rper2ax9sw5d9w0vzp" timestamp="0"&gt;679&lt;/key&gt;&lt;/foreign-keys&gt;&lt;ref-type name="Journal Article"&gt;17&lt;/ref-type&gt;&lt;contributors&gt;&lt;authors&gt;&lt;author&gt;Wilton,Robert D&lt;/author&gt;&lt;/authors&gt;&lt;/contributors&gt;&lt;titles&gt;&lt;title&gt;Workers with disabilities and the challenges of emotional labour&lt;/title&gt;&lt;secondary-title&gt;Disability &amp;amp; Society&lt;/secondary-title&gt;&lt;/titles&gt;&lt;periodical&gt;&lt;full-title&gt;Disability &amp;amp; Society&lt;/full-title&gt;&lt;/periodical&gt;&lt;pages&gt;361-373&lt;/pages&gt;&lt;volume&gt;23&lt;/volume&gt;&lt;number&gt;4&lt;/number&gt;&lt;keywords&gt;&lt;keyword&gt;job tasks&lt;/keyword&gt;&lt;/keywords&gt;&lt;dates&gt;&lt;year&gt;2008&lt;/year&gt;&lt;/dates&gt;&lt;urls&gt;&lt;related-urls&gt;&lt;url&gt;http://dx.doi.org/10.1080/09687590802038878&lt;/url&gt;&lt;/related-urls&gt;&lt;/urls&gt;&lt;custom1&gt;Read&lt;/custom1&gt;&lt;custom3&gt;Canada&lt;/custom3&gt;&lt;research-notes&gt;Quali interviews with 59 people who had disabilities and worked in service-sector occupations&lt;/research-notes&gt;&lt;/record&gt;&lt;/Cite&gt;&lt;/EndNote&gt;</w:instrText>
      </w:r>
      <w:r w:rsidR="00390DAE">
        <w:fldChar w:fldCharType="separate"/>
      </w:r>
      <w:r w:rsidR="00390DAE">
        <w:rPr>
          <w:noProof/>
        </w:rPr>
        <w:t>(</w:t>
      </w:r>
      <w:hyperlink w:anchor="_ENREF_42" w:tooltip="Wilton, 2008 #679" w:history="1">
        <w:r w:rsidR="003242B5">
          <w:rPr>
            <w:noProof/>
          </w:rPr>
          <w:t>Wilton 2008</w:t>
        </w:r>
      </w:hyperlink>
      <w:r w:rsidR="00390DAE">
        <w:rPr>
          <w:noProof/>
        </w:rPr>
        <w:t>)</w:t>
      </w:r>
      <w:r w:rsidR="00390DAE">
        <w:fldChar w:fldCharType="end"/>
      </w:r>
      <w:r w:rsidR="00087394">
        <w:t>.</w:t>
      </w:r>
      <w:r>
        <w:t xml:space="preserve">  Continuing to work sometimes damaged their health or put them in considerable pain, and the effort of staying in work often came to dominate </w:t>
      </w:r>
      <w:r w:rsidR="001A62EC">
        <w:t xml:space="preserve">their </w:t>
      </w:r>
      <w:r>
        <w:t>lives</w:t>
      </w:r>
      <w:r w:rsidRPr="004C48DF">
        <w:t xml:space="preserve">.  </w:t>
      </w:r>
      <w:r>
        <w:t xml:space="preserve">As Erica put it, talking about her job with a </w:t>
      </w:r>
      <w:r w:rsidR="00E2581E">
        <w:t xml:space="preserve">major </w:t>
      </w:r>
      <w:r>
        <w:t>budget clothing retailer with a workload she described as ‘mental’:</w:t>
      </w:r>
    </w:p>
    <w:p w14:paraId="423A86EC" w14:textId="5A56E280" w:rsidR="00720E10" w:rsidRPr="00AD478E" w:rsidRDefault="00720E10" w:rsidP="00947E73">
      <w:pPr>
        <w:pStyle w:val="Quote"/>
        <w:spacing w:line="480" w:lineRule="auto"/>
      </w:pPr>
      <w:r>
        <w:lastRenderedPageBreak/>
        <w:t xml:space="preserve"> “</w:t>
      </w:r>
      <w:r w:rsidRPr="00AD478E">
        <w:t>I’m not physically capable of this 20 hours a week, running this house - which isn’t a lot because you can see the state of it (laughs) - and a private life.  I’m not capable of it all and I just literally don’t have a private life.  No friends, no boyfriend – no nothing.</w:t>
      </w:r>
      <w:r>
        <w:t>”</w:t>
      </w:r>
    </w:p>
    <w:p w14:paraId="6C8E3B83" w14:textId="57B97CF9" w:rsidR="00DB7431" w:rsidRPr="007E698F" w:rsidRDefault="001A62EC" w:rsidP="00947E73">
      <w:pPr>
        <w:spacing w:line="480" w:lineRule="auto"/>
        <w:rPr>
          <w:i/>
        </w:rPr>
      </w:pPr>
      <w:r>
        <w:t>Given that it was almost unheard of for employers to permanently reduce job demands, the main option</w:t>
      </w:r>
      <w:r w:rsidR="00B33EA1">
        <w:t>s</w:t>
      </w:r>
      <w:r>
        <w:t xml:space="preserve"> left </w:t>
      </w:r>
      <w:r w:rsidR="00B33EA1">
        <w:t xml:space="preserve">were </w:t>
      </w:r>
      <w:r>
        <w:t>to reduce hours</w:t>
      </w:r>
      <w:r w:rsidR="00B33EA1">
        <w:t>, change job, or leave work</w:t>
      </w:r>
      <w:r w:rsidR="008D1C45">
        <w:t xml:space="preserve">.  Crucially, though, </w:t>
      </w:r>
      <w:r w:rsidR="00B33EA1">
        <w:t xml:space="preserve">individuals not employers </w:t>
      </w:r>
      <w:r>
        <w:t xml:space="preserve">bore </w:t>
      </w:r>
      <w:r w:rsidR="00B33EA1">
        <w:t xml:space="preserve">this </w:t>
      </w:r>
      <w:r>
        <w:t>cost</w:t>
      </w:r>
      <w:r w:rsidR="00B33EA1">
        <w:t xml:space="preserve">, and this was only a </w:t>
      </w:r>
      <w:r w:rsidR="00720E10">
        <w:t xml:space="preserve">‘choice’ </w:t>
      </w:r>
      <w:r w:rsidR="00B33EA1">
        <w:t>if people could</w:t>
      </w:r>
      <w:r w:rsidR="00DB7431">
        <w:t xml:space="preserve"> cope with reduced income.  </w:t>
      </w:r>
      <w:r>
        <w:t xml:space="preserve">Khaled was one of </w:t>
      </w:r>
      <w:r w:rsidR="00B33EA1">
        <w:t xml:space="preserve">those </w:t>
      </w:r>
      <w:r>
        <w:t xml:space="preserve">who felt financially trapped.  </w:t>
      </w:r>
      <w:r w:rsidR="00DB7431">
        <w:t xml:space="preserve">He </w:t>
      </w:r>
      <w:r w:rsidR="00DB7431" w:rsidRPr="004C48DF">
        <w:t>was forced to sit down for nine h</w:t>
      </w:r>
      <w:r w:rsidR="00DB7431">
        <w:t xml:space="preserve">ours in his job as a bus driver, leading </w:t>
      </w:r>
      <w:r w:rsidR="00DB7431" w:rsidRPr="004C48DF">
        <w:t xml:space="preserve">to back pain he described as </w:t>
      </w:r>
      <w:r w:rsidR="00DB7431" w:rsidRPr="00E45012">
        <w:rPr>
          <w:i/>
        </w:rPr>
        <w:t xml:space="preserve">‘like having a knife in your back, cutting </w:t>
      </w:r>
      <w:r w:rsidR="00DB7431" w:rsidRPr="00A3459F">
        <w:rPr>
          <w:i/>
        </w:rPr>
        <w:t>across’</w:t>
      </w:r>
      <w:r w:rsidR="00DB7431">
        <w:rPr>
          <w:i/>
        </w:rPr>
        <w:t xml:space="preserve">, </w:t>
      </w:r>
      <w:r w:rsidR="00DB7431">
        <w:t xml:space="preserve">and </w:t>
      </w:r>
      <w:r w:rsidR="00DB7431" w:rsidRPr="008478C9">
        <w:t>he was too exhausted when he got home to socia</w:t>
      </w:r>
      <w:r w:rsidR="00DB7431" w:rsidRPr="0032364A">
        <w:t>lise</w:t>
      </w:r>
      <w:r>
        <w:t xml:space="preserve">, even after </w:t>
      </w:r>
      <w:r w:rsidR="008D1C45">
        <w:t xml:space="preserve">ceasing </w:t>
      </w:r>
      <w:r>
        <w:t>overtime</w:t>
      </w:r>
      <w:r w:rsidR="00DB7431" w:rsidRPr="0032364A">
        <w:t xml:space="preserve">.  </w:t>
      </w:r>
      <w:r w:rsidR="00DB7431">
        <w:t xml:space="preserve">Khaled felt he could have claimed incapacity benefits (his injury was visible on MRI scans), or changed to a retail job (with his cousin) – but both of these would lead to what he considered to be an unacceptable drop in income, forcing him to deny </w:t>
      </w:r>
      <w:r w:rsidR="00DB7431" w:rsidRPr="004C48DF">
        <w:t xml:space="preserve">his kids the </w:t>
      </w:r>
      <w:r w:rsidR="00DB7431">
        <w:t xml:space="preserve">right </w:t>
      </w:r>
      <w:r w:rsidR="00DB7431" w:rsidRPr="004C48DF">
        <w:rPr>
          <w:i/>
        </w:rPr>
        <w:t xml:space="preserve">‘to have that </w:t>
      </w:r>
      <w:r w:rsidR="00DB7431">
        <w:rPr>
          <w:i/>
        </w:rPr>
        <w:t xml:space="preserve">just </w:t>
      </w:r>
      <w:r w:rsidR="00DB7431" w:rsidRPr="004C48DF">
        <w:t xml:space="preserve">little </w:t>
      </w:r>
      <w:r w:rsidR="00DB7431" w:rsidRPr="00A47375">
        <w:t>bit</w:t>
      </w:r>
      <w:r w:rsidR="00DB7431" w:rsidRPr="004C48DF">
        <w:rPr>
          <w:i/>
        </w:rPr>
        <w:t xml:space="preserve"> extra</w:t>
      </w:r>
      <w:r w:rsidR="00DB7431" w:rsidRPr="004C48DF">
        <w:t>’</w:t>
      </w:r>
      <w:r w:rsidR="00DB7431">
        <w:t xml:space="preserve">. </w:t>
      </w:r>
      <w:r w:rsidR="00DB7431" w:rsidRPr="004C48DF">
        <w:t xml:space="preserve">While this may sound like a ‘choice’, it certainly wasn’t experienced as such – </w:t>
      </w:r>
      <w:r w:rsidR="00DB7431" w:rsidRPr="004C48DF">
        <w:rPr>
          <w:i/>
        </w:rPr>
        <w:t>“It's recommended [by doctors] to do something else, but</w:t>
      </w:r>
      <w:r w:rsidR="00DB7431">
        <w:rPr>
          <w:i/>
        </w:rPr>
        <w:t xml:space="preserve"> (</w:t>
      </w:r>
      <w:r w:rsidR="00DB7431" w:rsidRPr="004C48DF">
        <w:rPr>
          <w:i/>
        </w:rPr>
        <w:t>...</w:t>
      </w:r>
      <w:r w:rsidR="00DB7431">
        <w:rPr>
          <w:i/>
        </w:rPr>
        <w:t xml:space="preserve">) </w:t>
      </w:r>
      <w:r w:rsidR="00DB7431" w:rsidRPr="004C48DF">
        <w:rPr>
          <w:i/>
        </w:rPr>
        <w:t>there's not much that can be done.”</w:t>
      </w:r>
    </w:p>
    <w:p w14:paraId="3932238B" w14:textId="4B6ABF63" w:rsidR="001A62EC" w:rsidRDefault="001A62EC" w:rsidP="00947E73">
      <w:pPr>
        <w:spacing w:line="480" w:lineRule="auto"/>
      </w:pPr>
      <w:r>
        <w:t xml:space="preserve">In other words, some people </w:t>
      </w:r>
      <w:r w:rsidR="008C3C1E">
        <w:t xml:space="preserve">not only </w:t>
      </w:r>
      <w:r>
        <w:t>had more options available to find non-disabl</w:t>
      </w:r>
      <w:r w:rsidR="008C3C1E">
        <w:t>ing</w:t>
      </w:r>
      <w:r>
        <w:t xml:space="preserve"> work</w:t>
      </w:r>
      <w:r w:rsidR="00134826">
        <w:t xml:space="preserve"> (above)</w:t>
      </w:r>
      <w:r>
        <w:t xml:space="preserve">, </w:t>
      </w:r>
      <w:r w:rsidR="008C3C1E">
        <w:t xml:space="preserve">but when they had partial </w:t>
      </w:r>
      <w:r w:rsidR="00B33EA1">
        <w:t xml:space="preserve">fitness-for-work </w:t>
      </w:r>
      <w:r w:rsidR="008C3C1E">
        <w:t>limitations</w:t>
      </w:r>
      <w:r w:rsidR="00BC5215">
        <w:t>,</w:t>
      </w:r>
      <w:r w:rsidR="008C3C1E">
        <w:t xml:space="preserve"> they also had </w:t>
      </w:r>
      <w:r w:rsidR="00BC5215">
        <w:t xml:space="preserve">more </w:t>
      </w:r>
      <w:r w:rsidR="008C3C1E">
        <w:t xml:space="preserve">choice about whether to struggle on.  </w:t>
      </w:r>
    </w:p>
    <w:p w14:paraId="7CE51726" w14:textId="30BA14E0" w:rsidR="00DE16FC" w:rsidRDefault="00DE16FC" w:rsidP="00947E73">
      <w:pPr>
        <w:pStyle w:val="Heading1"/>
        <w:spacing w:line="480" w:lineRule="auto"/>
      </w:pPr>
      <w:r>
        <w:t>Discussion</w:t>
      </w:r>
      <w:r w:rsidR="007B7729">
        <w:t xml:space="preserve"> </w:t>
      </w:r>
    </w:p>
    <w:p w14:paraId="13430A49" w14:textId="7DBDD4F6" w:rsidR="009D593F" w:rsidRDefault="00E600F7" w:rsidP="00947E73">
      <w:pPr>
        <w:spacing w:line="480" w:lineRule="auto"/>
      </w:pPr>
      <w:r>
        <w:t xml:space="preserve">In reflecting on these findings, it is important to be mindful of the study’s limitations.  This method does not aim for a survey’s ‘representational generalisation’; instead it aims for ‘theoretical generalisation’ based on a sample that contains variety </w:t>
      </w:r>
      <w:r w:rsidR="00DD21AA">
        <w:t xml:space="preserve">in </w:t>
      </w:r>
      <w:r w:rsidR="00CC4214">
        <w:t xml:space="preserve">the phenomenon of interest </w:t>
      </w:r>
      <w:r w:rsidR="00390DAE">
        <w:fldChar w:fldCharType="begin"/>
      </w:r>
      <w:r w:rsidR="00390DAE">
        <w:instrText xml:space="preserve"> ADDIN EN.CITE &lt;EndNote&gt;&lt;Cite&gt;&lt;Author&gt;Ritchie&lt;/Author&gt;&lt;Year&gt;2003&lt;/Year&gt;&lt;RecNum&gt;1219&lt;/RecNum&gt;&lt;DisplayText&gt;(Ritchie and Lewis 2003)&lt;/DisplayText&gt;&lt;record&gt;&lt;rec-number&gt;1219&lt;/rec-number&gt;&lt;foreign-keys&gt;&lt;key app="EN" db-id="0r2ffr5x6st05beff5rper2ax9sw5d9w0vzp" timestamp="0"&gt;1219&lt;/key&gt;&lt;/foreign-keys&gt;&lt;ref-type name="Book"&gt;6&lt;/ref-type&gt;&lt;contributors&gt;&lt;authors&gt;&lt;author&gt;Ritchie, J&lt;/author&gt;&lt;author&gt;Lewis,J&lt;/author&gt;&lt;/authors&gt;&lt;/contributors&gt;&lt;titles&gt;&lt;title&gt;Qualitative research practice: a guide for social science students and researchers&lt;/title&gt;&lt;/titles&gt;&lt;keywords&gt;&lt;keyword&gt;methodology - qual on health&lt;/keyword&gt;&lt;/keywords&gt;&lt;dates&gt;&lt;year&gt;2003&lt;/year&gt;&lt;/dates&gt;&lt;pub-location&gt;London&lt;/pub-location&gt;&lt;publisher&gt;SAGE&lt;/publisher&gt;&lt;urls&gt;&lt;/urls&gt;&lt;custom1&gt;Read&lt;/custom1&gt;&lt;/record&gt;&lt;/Cite&gt;&lt;/EndNote&gt;</w:instrText>
      </w:r>
      <w:r w:rsidR="00390DAE">
        <w:fldChar w:fldCharType="separate"/>
      </w:r>
      <w:r w:rsidR="00390DAE">
        <w:rPr>
          <w:noProof/>
        </w:rPr>
        <w:t>(</w:t>
      </w:r>
      <w:hyperlink w:anchor="_ENREF_36" w:tooltip="Ritchie, 2003 #1219" w:history="1">
        <w:r w:rsidR="003242B5">
          <w:rPr>
            <w:noProof/>
          </w:rPr>
          <w:t>Ritchie and Lewis 2003</w:t>
        </w:r>
      </w:hyperlink>
      <w:r w:rsidR="00390DAE">
        <w:rPr>
          <w:noProof/>
        </w:rPr>
        <w:t>)</w:t>
      </w:r>
      <w:r w:rsidR="00390DAE">
        <w:fldChar w:fldCharType="end"/>
      </w:r>
      <w:r>
        <w:t xml:space="preserve">.  </w:t>
      </w:r>
      <w:r w:rsidR="009D593F">
        <w:t>T</w:t>
      </w:r>
      <w:r>
        <w:t xml:space="preserve">his is subject to </w:t>
      </w:r>
      <w:r w:rsidR="00C8541C">
        <w:t xml:space="preserve">several </w:t>
      </w:r>
      <w:r>
        <w:t xml:space="preserve">caveats: that some </w:t>
      </w:r>
      <w:r w:rsidR="00EA4064">
        <w:t>less common</w:t>
      </w:r>
      <w:r>
        <w:t xml:space="preserve"> experiences have been missed (e.g. bipolar disorder), </w:t>
      </w:r>
      <w:r w:rsidR="00C8541C">
        <w:t xml:space="preserve">as will those who avoid formal services (GPs, welfare-to-work providers), and </w:t>
      </w:r>
      <w:r>
        <w:t xml:space="preserve">the interviews </w:t>
      </w:r>
      <w:r w:rsidR="00DD21AA">
        <w:t xml:space="preserve">were </w:t>
      </w:r>
      <w:r>
        <w:t xml:space="preserve">limited to London.   </w:t>
      </w:r>
      <w:r w:rsidR="005F3FE7">
        <w:t>Furthermore</w:t>
      </w:r>
      <w:r w:rsidR="009D593F">
        <w:t>, t</w:t>
      </w:r>
      <w:r w:rsidR="00CC4214">
        <w:t xml:space="preserve">he interview data was </w:t>
      </w:r>
      <w:r w:rsidR="00CC4214">
        <w:lastRenderedPageBreak/>
        <w:t>treated as a valid account of people’s experiences</w:t>
      </w:r>
      <w:r w:rsidR="005F3FE7">
        <w:t xml:space="preserve">, and while we make our own judgements as to the degree that people were incapacitated, this builds from people’s own </w:t>
      </w:r>
      <w:r w:rsidR="00E14C84">
        <w:t xml:space="preserve">accounts </w:t>
      </w:r>
      <w:r w:rsidR="005F3FE7">
        <w:t xml:space="preserve">of how </w:t>
      </w:r>
      <w:r w:rsidR="00E14C84">
        <w:t xml:space="preserve">their </w:t>
      </w:r>
      <w:r w:rsidR="005F3FE7">
        <w:t>impairments affected their lives.  I</w:t>
      </w:r>
      <w:r w:rsidR="00CC4214">
        <w:t xml:space="preserve">nterviews will </w:t>
      </w:r>
      <w:r w:rsidR="005F3FE7">
        <w:t xml:space="preserve">also </w:t>
      </w:r>
      <w:r w:rsidR="00CC4214">
        <w:t xml:space="preserve">be affected both by the author’s own particular social position and the embedding of such interviews within participants’ wider narratives.  </w:t>
      </w:r>
    </w:p>
    <w:p w14:paraId="0DEE4E3E" w14:textId="24CF6FF6" w:rsidR="009D593F" w:rsidRDefault="004736B0" w:rsidP="00947E73">
      <w:pPr>
        <w:spacing w:line="480" w:lineRule="auto"/>
      </w:pPr>
      <w:r>
        <w:t xml:space="preserve">A further issue – rarely addressed explicitly – concerns causal inference in qualitative research.  </w:t>
      </w:r>
      <w:r w:rsidR="00E14C84">
        <w:t>T</w:t>
      </w:r>
      <w:r>
        <w:t xml:space="preserve">he analysis here focused on ‘process tracing’: that is, </w:t>
      </w:r>
      <w:r w:rsidR="00DD21AA">
        <w:t xml:space="preserve">examining </w:t>
      </w:r>
      <w:r>
        <w:t>the unfolding sequences of events within each person, looking for evidence of which complex constellation of factors leads to the observed outcomes</w:t>
      </w:r>
      <w:r w:rsidR="00BC5215">
        <w:t>, comparing all the cases to one another and paying particular attention to exceptions</w:t>
      </w:r>
      <w:r>
        <w:t xml:space="preserve"> </w:t>
      </w:r>
      <w:r w:rsidR="00390DAE">
        <w:fldChar w:fldCharType="begin"/>
      </w:r>
      <w:r w:rsidR="00390DAE">
        <w:instrText xml:space="preserve"> ADDIN EN.CITE &lt;EndNote&gt;&lt;Cite&gt;&lt;Author&gt;Maxwell&lt;/Author&gt;&lt;Year&gt;2004&lt;/Year&gt;&lt;RecNum&gt;1728&lt;/RecNum&gt;&lt;DisplayText&gt;(Maxwell 2004)&lt;/DisplayText&gt;&lt;record&gt;&lt;rec-number&gt;1728&lt;/rec-number&gt;&lt;foreign-keys&gt;&lt;key app="EN" db-id="0r2ffr5x6st05beff5rper2ax9sw5d9w0vzp" timestamp="1401135455"&gt;1728&lt;/key&gt;&lt;/foreign-keys&gt;&lt;ref-type name="Journal Article"&gt;17&lt;/ref-type&gt;&lt;contributors&gt;&lt;authors&gt;&lt;author&gt;Maxwell, Joseph A.&lt;/author&gt;&lt;/authors&gt;&lt;/contributors&gt;&lt;titles&gt;&lt;title&gt;Using Qualitative Methods for Causal Explanation&lt;/title&gt;&lt;secondary-title&gt;Field Methods&lt;/secondary-title&gt;&lt;/titles&gt;&lt;periodical&gt;&lt;full-title&gt;Field Methods&lt;/full-title&gt;&lt;/periodical&gt;&lt;pages&gt;243-264&lt;/pages&gt;&lt;volume&gt;16&lt;/volume&gt;&lt;number&gt;3&lt;/number&gt;&lt;dates&gt;&lt;year&gt;2004&lt;/year&gt;&lt;pub-dates&gt;&lt;date&gt;August 1, 2004&lt;/date&gt;&lt;/pub-dates&gt;&lt;/dates&gt;&lt;urls&gt;&lt;related-urls&gt;&lt;url&gt;http://fmx.sagepub.com/content/16/3/243.abstract&lt;/url&gt;&lt;/related-urls&gt;&lt;/urls&gt;&lt;electronic-resource-num&gt;10.1177/1525822x04266831&lt;/electronic-resource-num&gt;&lt;/record&gt;&lt;/Cite&gt;&lt;/EndNote&gt;</w:instrText>
      </w:r>
      <w:r w:rsidR="00390DAE">
        <w:fldChar w:fldCharType="separate"/>
      </w:r>
      <w:r w:rsidR="00390DAE">
        <w:rPr>
          <w:noProof/>
        </w:rPr>
        <w:t>(</w:t>
      </w:r>
      <w:hyperlink w:anchor="_ENREF_28" w:tooltip="Maxwell, 2004 #1728" w:history="1">
        <w:r w:rsidR="003242B5">
          <w:rPr>
            <w:noProof/>
          </w:rPr>
          <w:t>Maxwell 2004</w:t>
        </w:r>
      </w:hyperlink>
      <w:r w:rsidR="00390DAE">
        <w:rPr>
          <w:noProof/>
        </w:rPr>
        <w:t>)</w:t>
      </w:r>
      <w:r w:rsidR="00390DAE">
        <w:fldChar w:fldCharType="end"/>
      </w:r>
      <w:r>
        <w:t xml:space="preserve">.  No method of causal inference is infallible, however.  </w:t>
      </w:r>
      <w:r w:rsidR="00E14C84">
        <w:t xml:space="preserve">Furthermore, while we trace the processes through which impairment becomes incapacity, some of these processes are only indirectly related to education.  For these we draw on wider evidence, and suggest further avenues for research below.  </w:t>
      </w:r>
      <w:r w:rsidR="00CC4214">
        <w:t xml:space="preserve">With </w:t>
      </w:r>
      <w:r w:rsidR="00E14C84">
        <w:t xml:space="preserve">these limitations </w:t>
      </w:r>
      <w:r w:rsidR="00CC4214">
        <w:t xml:space="preserve">in mind, this discussion summarises the paper’s results in the context of the wider literature, and draws out the implications for research and policy.  </w:t>
      </w:r>
    </w:p>
    <w:p w14:paraId="28008F27" w14:textId="77777777" w:rsidR="00D42990" w:rsidRDefault="00D42990" w:rsidP="00947E73">
      <w:pPr>
        <w:spacing w:line="480" w:lineRule="auto"/>
      </w:pPr>
    </w:p>
    <w:p w14:paraId="5249AE9B" w14:textId="6FBC5B1E" w:rsidR="00D42990" w:rsidRDefault="00D42990" w:rsidP="00947E73">
      <w:pPr>
        <w:pStyle w:val="Heading3"/>
        <w:spacing w:line="480" w:lineRule="auto"/>
      </w:pPr>
      <w:r>
        <w:t>Findings</w:t>
      </w:r>
    </w:p>
    <w:p w14:paraId="7E4FC0D8" w14:textId="70A65317" w:rsidR="00C74744" w:rsidRDefault="00D42990" w:rsidP="00947E73">
      <w:pPr>
        <w:spacing w:line="480" w:lineRule="auto"/>
      </w:pPr>
      <w:r>
        <w:t xml:space="preserve">Based on an in-depth analysis of interviews with 32 individuals with </w:t>
      </w:r>
      <w:r w:rsidR="00EC5849">
        <w:t xml:space="preserve">physical and mental </w:t>
      </w:r>
      <w:r>
        <w:t xml:space="preserve">impairments, </w:t>
      </w:r>
      <w:r w:rsidR="000E0348" w:rsidRPr="000E0348">
        <w:t xml:space="preserve">this paper has suggested that </w:t>
      </w:r>
      <w:r w:rsidR="000E0348">
        <w:t xml:space="preserve">some people have systematic advantages in </w:t>
      </w:r>
      <w:r w:rsidR="00790EE9">
        <w:t xml:space="preserve">preventing </w:t>
      </w:r>
      <w:r w:rsidR="000E0348">
        <w:t>their impairment</w:t>
      </w:r>
      <w:r w:rsidR="00BC5215">
        <w:t>s</w:t>
      </w:r>
      <w:r w:rsidR="000E0348">
        <w:t xml:space="preserve"> from becoming incapacitating</w:t>
      </w:r>
      <w:r w:rsidR="007A62E0">
        <w:t xml:space="preserve">, </w:t>
      </w:r>
      <w:r w:rsidR="005C3DF5">
        <w:t xml:space="preserve">going beyond </w:t>
      </w:r>
      <w:r w:rsidR="007A62E0">
        <w:t xml:space="preserve">the </w:t>
      </w:r>
      <w:r w:rsidR="005C3DF5">
        <w:t xml:space="preserve">existing </w:t>
      </w:r>
      <w:r w:rsidR="007A62E0">
        <w:t>literatures on hidden unemployment and working conditions</w:t>
      </w:r>
      <w:r w:rsidR="000E0348">
        <w:t xml:space="preserve">.  More precisely, it </w:t>
      </w:r>
      <w:r w:rsidR="005F3FE7">
        <w:t xml:space="preserve">suggests </w:t>
      </w:r>
      <w:r w:rsidR="00E14C84">
        <w:t xml:space="preserve">that </w:t>
      </w:r>
      <w:r w:rsidR="008439A8">
        <w:t>both workplace inequalities and labour market inequalities</w:t>
      </w:r>
      <w:r w:rsidR="00E14C84">
        <w:t xml:space="preserve"> are at work</w:t>
      </w:r>
      <w:r w:rsidR="00C74744">
        <w:t>:</w:t>
      </w:r>
    </w:p>
    <w:p w14:paraId="1D092684" w14:textId="5BE85A02" w:rsidR="00EC5849" w:rsidRDefault="000E0348" w:rsidP="00947E73">
      <w:pPr>
        <w:pStyle w:val="ListParagraph"/>
        <w:numPr>
          <w:ilvl w:val="0"/>
          <w:numId w:val="20"/>
        </w:numPr>
        <w:spacing w:line="480" w:lineRule="auto"/>
        <w:contextualSpacing w:val="0"/>
      </w:pPr>
      <w:r w:rsidRPr="000E0348">
        <w:t>Job flexibility enable</w:t>
      </w:r>
      <w:r w:rsidR="00C74744">
        <w:t>d</w:t>
      </w:r>
      <w:r w:rsidRPr="000E0348">
        <w:t xml:space="preserve"> people to work around their impairment</w:t>
      </w:r>
      <w:r>
        <w:t xml:space="preserve">, as found in both qualitative </w:t>
      </w:r>
      <w:r w:rsidR="00390DAE">
        <w:fldChar w:fldCharType="begin">
          <w:fldData xml:space="preserve">PEVuZE5vdGU+PENpdGU+PEF1dGhvcj5TYWluc2J1cnk8L0F1dGhvcj48WWVhcj4yMDA4PC9ZZWFy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=
</w:fldData>
        </w:fldChar>
      </w:r>
      <w:r w:rsidR="00390DAE">
        <w:instrText xml:space="preserve"> ADDIN EN.CITE </w:instrText>
      </w:r>
      <w:r w:rsidR="00390DAE">
        <w:fldChar w:fldCharType="begin">
          <w:fldData xml:space="preserve">PEVuZE5vdGU+PENpdGU+PEF1dGhvcj5TYWluc2J1cnk8L0F1dGhvcj48WWVhcj4yMDA4PC9ZZWFy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=
</w:fldData>
        </w:fldChar>
      </w:r>
      <w:r w:rsidR="00390DAE">
        <w:instrText xml:space="preserve"> ADDIN EN.CITE.DATA </w:instrText>
      </w:r>
      <w:r w:rsidR="00390DAE">
        <w:fldChar w:fldCharType="end"/>
      </w:r>
      <w:r w:rsidR="00390DAE">
        <w:fldChar w:fldCharType="separate"/>
      </w:r>
      <w:r w:rsidR="00390DAE">
        <w:rPr>
          <w:noProof/>
        </w:rPr>
        <w:t>(</w:t>
      </w:r>
      <w:hyperlink w:anchor="_ENREF_38" w:tooltip="Sainsbury, 2008 #731" w:history="1">
        <w:r w:rsidR="003242B5">
          <w:rPr>
            <w:noProof/>
          </w:rPr>
          <w:t>Sainsbury et al. 2008:134</w:t>
        </w:r>
      </w:hyperlink>
      <w:r w:rsidR="00390DAE">
        <w:rPr>
          <w:noProof/>
        </w:rPr>
        <w:t xml:space="preserve">, </w:t>
      </w:r>
      <w:hyperlink w:anchor="_ENREF_10" w:tooltip="Gewurtz, 2009 #1009" w:history="1">
        <w:r w:rsidR="003242B5">
          <w:rPr>
            <w:noProof/>
          </w:rPr>
          <w:t>Gewurtz and Kirs 2009:40</w:t>
        </w:r>
      </w:hyperlink>
      <w:r w:rsidR="00390DAE">
        <w:rPr>
          <w:noProof/>
        </w:rPr>
        <w:t>)</w:t>
      </w:r>
      <w:r w:rsidR="00390DAE">
        <w:fldChar w:fldCharType="end"/>
      </w:r>
      <w:r w:rsidR="00C74744">
        <w:t xml:space="preserve"> </w:t>
      </w:r>
      <w:r>
        <w:t xml:space="preserve">and quantitative research </w:t>
      </w:r>
      <w:r w:rsidR="00390DAE">
        <w:fldChar w:fldCharType="begin"/>
      </w:r>
      <w:r w:rsidR="00390DAE">
        <w:instrText xml:space="preserve"> ADDIN EN.CITE &lt;EndNote&gt;&lt;Cite&gt;&lt;Author&gt;Allebeck&lt;/Author&gt;&lt;Year&gt;2004&lt;/Year&gt;&lt;RecNum&gt;866&lt;/RecNum&gt;&lt;Suffix&gt;:57&lt;/Suffix&gt;&lt;DisplayText&gt;(Allebeck and Mastekaasa 2004:57, Baumberg 2014)&lt;/DisplayText&gt;&lt;record&gt;&lt;rec-number&gt;866&lt;/rec-number&gt;&lt;foreign-keys&gt;&lt;key app="EN" db-id="0r2ffr5x6st05beff5rper2ax9sw5d9w0vzp" timestamp="0"&gt;866&lt;/key&gt;&lt;/foreign-keys&gt;&lt;ref-type name="Journal Article"&gt;17&lt;/ref-type&gt;&lt;contributors&gt;&lt;authors&gt;&lt;author&gt;Allebeck,Peter&lt;/author&gt;&lt;author&gt;Mastekaasa,Arne&lt;/author&gt;&lt;/authors&gt;&lt;/contributors&gt;&lt;titles&gt;&lt;title&gt;Chapter 5.  Risk factors for sick leave - general studies&lt;/title&gt;&lt;secondary-title&gt;Scandinavian Journal of Public Health&lt;/secondary-title&gt;&lt;/titles&gt;&lt;periodical&gt;&lt;full-title&gt;Scandinavian Journal of Public Health&lt;/full-title&gt;&lt;/periodical&gt;&lt;pages&gt;49-108&lt;/pages&gt;&lt;volume&gt;32&lt;/volume&gt;&lt;keywords&gt;&lt;keyword&gt;transitions - sickness absence&lt;/keyword&gt;&lt;keyword&gt;effects - work affecting health&lt;/keyword&gt;&lt;/keywords&gt;&lt;dates&gt;&lt;year&gt;2004&lt;/year&gt;&lt;/dates&gt;&lt;urls&gt;&lt;/urls&gt;&lt;custom1&gt;Read&lt;/custom1&gt;&lt;custom3&gt;International&lt;/custom3&gt;&lt;/record&gt;&lt;/Cite&gt;&lt;Cite&gt;&lt;Author&gt;Baumberg&lt;/Author&gt;&lt;Year&gt;2014&lt;/Year&gt;&lt;RecNum&gt;1723&lt;/RecNum&gt;&lt;record&gt;&lt;rec-number&gt;1723&lt;/rec-number&gt;&lt;foreign-keys&gt;&lt;key app="EN" db-id="0r2ffr5x6st05beff5rper2ax9sw5d9w0vzp" timestamp="1400856378"&gt;1723&lt;/key&gt;&lt;/foreign-keys&gt;&lt;ref-type name="Journal Article"&gt;17&lt;/ref-type&gt;&lt;contributors&gt;&lt;authors&gt;&lt;author&gt;Baumberg, B.&lt;/author&gt;&lt;/authors&gt;&lt;/contributors&gt;&lt;titles&gt;&lt;title&gt;Fit-for-Work – or Work Fit for Disabled People? The Role of Changing Job Demands and Control in Incapacity Claims&lt;/title&gt;&lt;secondary-title&gt;Journal of Social Policy&lt;/secondary-title&gt;&lt;/titles&gt;&lt;periodical&gt;&lt;full-title&gt;Journal of Social Policy&lt;/full-title&gt;&lt;/periodical&gt;&lt;pages&gt;289-310&lt;/pages&gt;&lt;volume&gt;43&lt;/volume&gt;&lt;dates&gt;&lt;year&gt;2014&lt;/year&gt;&lt;/dates&gt;&lt;urls&gt;&lt;/urls&gt;&lt;electronic-resource-num&gt;10.1017/S0047279413000810&lt;/electronic-resource-num&gt;&lt;/record&gt;&lt;/Cite&gt;&lt;/EndNote&gt;</w:instrText>
      </w:r>
      <w:r w:rsidR="00390DAE">
        <w:fldChar w:fldCharType="separate"/>
      </w:r>
      <w:r w:rsidR="00390DAE">
        <w:rPr>
          <w:noProof/>
        </w:rPr>
        <w:t>(</w:t>
      </w:r>
      <w:hyperlink w:anchor="_ENREF_1" w:tooltip="Allebeck, 2004 #866" w:history="1">
        <w:r w:rsidR="003242B5">
          <w:rPr>
            <w:noProof/>
          </w:rPr>
          <w:t xml:space="preserve">Allebeck </w:t>
        </w:r>
        <w:r w:rsidR="003242B5">
          <w:rPr>
            <w:noProof/>
          </w:rPr>
          <w:lastRenderedPageBreak/>
          <w:t>and Mastekaasa 2004:57</w:t>
        </w:r>
      </w:hyperlink>
      <w:r w:rsidR="00390DAE">
        <w:rPr>
          <w:noProof/>
        </w:rPr>
        <w:t xml:space="preserve">, </w:t>
      </w:r>
      <w:hyperlink w:anchor="_ENREF_4" w:tooltip="Baumberg, 2014 #1723" w:history="1">
        <w:r w:rsidR="003242B5">
          <w:rPr>
            <w:noProof/>
          </w:rPr>
          <w:t>Baumberg 2014</w:t>
        </w:r>
      </w:hyperlink>
      <w:r w:rsidR="00390DAE">
        <w:rPr>
          <w:noProof/>
        </w:rPr>
        <w:t>)</w:t>
      </w:r>
      <w:r w:rsidR="00390DAE">
        <w:fldChar w:fldCharType="end"/>
      </w:r>
      <w:r w:rsidR="00C74744">
        <w:t xml:space="preserve">.  </w:t>
      </w:r>
      <w:r w:rsidR="007A62E0">
        <w:t>Such flexibility was more common among better-educated people – but the present</w:t>
      </w:r>
      <w:r w:rsidR="00183A74">
        <w:t>, qualitative</w:t>
      </w:r>
      <w:r w:rsidR="007A62E0">
        <w:t xml:space="preserve"> study cannot offer robust evidence of such p</w:t>
      </w:r>
      <w:r w:rsidR="005F3FE7">
        <w:t>atterns of association</w:t>
      </w:r>
      <w:r w:rsidR="007A62E0">
        <w:t>.  However</w:t>
      </w:r>
      <w:r w:rsidR="005F3FE7">
        <w:t xml:space="preserve">, </w:t>
      </w:r>
      <w:r w:rsidR="00C74744">
        <w:t>nationally representative surveys of work</w:t>
      </w:r>
      <w:r w:rsidR="00EC5849">
        <w:t xml:space="preserve"> </w:t>
      </w:r>
      <w:r w:rsidR="00183A74">
        <w:t xml:space="preserve">confirm </w:t>
      </w:r>
      <w:r w:rsidR="006833AE">
        <w:t xml:space="preserve">that high-autonomy jobs tend to be </w:t>
      </w:r>
      <w:r w:rsidR="007143BE">
        <w:t xml:space="preserve">more common </w:t>
      </w:r>
      <w:r w:rsidR="006833AE">
        <w:t xml:space="preserve">among better-educated people </w:t>
      </w:r>
      <w:r w:rsidR="00390DAE">
        <w:fldChar w:fldCharType="begin"/>
      </w:r>
      <w:r w:rsidR="00390DAE">
        <w:instrText xml:space="preserve"> ADDIN EN.CITE &lt;EndNote&gt;&lt;Cite&gt;&lt;Author&gt;Baumberg&lt;/Author&gt;&lt;Year&gt;2011&lt;/Year&gt;&lt;RecNum&gt;1659&lt;/RecNum&gt;&lt;DisplayText&gt;(Baumberg 2011)&lt;/DisplayText&gt;&lt;record&gt;&lt;rec-number&gt;1659&lt;/rec-number&gt;&lt;foreign-keys&gt;&lt;key app="EN" db-id="0r2ffr5x6st05beff5rper2ax9sw5d9w0vzp" timestamp="0"&gt;1659&lt;/key&gt;&lt;/foreign-keys&gt;&lt;ref-type name="Thesis"&gt;32&lt;/ref-type&gt;&lt;contributors&gt;&lt;authors&gt;&lt;author&gt;Baumberg, B.&lt;/author&gt;&lt;/authors&gt;&lt;/contributors&gt;&lt;titles&gt;&lt;title&gt;The role of increasing job strain in deteriorating fitness-for-work and rising incapacity benefit receipt&lt;/title&gt;&lt;/titles&gt;&lt;dates&gt;&lt;year&gt;2011&lt;/year&gt;&lt;/dates&gt;&lt;publisher&gt;PhD thesis, The London School of Economics and Political Science (LSE)&lt;/publisher&gt;&lt;urls&gt;&lt;related-urls&gt;&lt;url&gt;http://etheses.lse.ac.uk/192/&lt;/url&gt;&lt;/related-urls&gt;&lt;/urls&gt;&lt;/record&gt;&lt;/Cite&gt;&lt;/EndNote&gt;</w:instrText>
      </w:r>
      <w:r w:rsidR="00390DAE">
        <w:fldChar w:fldCharType="separate"/>
      </w:r>
      <w:r w:rsidR="00390DAE">
        <w:rPr>
          <w:noProof/>
        </w:rPr>
        <w:t>(</w:t>
      </w:r>
      <w:hyperlink w:anchor="_ENREF_3" w:tooltip="Baumberg, 2011 #1659" w:history="1">
        <w:r w:rsidR="003242B5">
          <w:rPr>
            <w:noProof/>
          </w:rPr>
          <w:t>Baumberg 2011</w:t>
        </w:r>
      </w:hyperlink>
      <w:r w:rsidR="00390DAE">
        <w:rPr>
          <w:noProof/>
        </w:rPr>
        <w:t>)</w:t>
      </w:r>
      <w:r w:rsidR="00390DAE">
        <w:fldChar w:fldCharType="end"/>
      </w:r>
      <w:r w:rsidR="00746C92">
        <w:t>.</w:t>
      </w:r>
      <w:r w:rsidR="00C74744">
        <w:t xml:space="preserve"> </w:t>
      </w:r>
    </w:p>
    <w:p w14:paraId="7ACBCA22" w14:textId="1D39EF52" w:rsidR="000E0348" w:rsidRDefault="00BC5215">
      <w:pPr>
        <w:pStyle w:val="ListParagraph"/>
        <w:numPr>
          <w:ilvl w:val="0"/>
          <w:numId w:val="20"/>
        </w:numPr>
        <w:spacing w:line="480" w:lineRule="auto"/>
        <w:contextualSpacing w:val="0"/>
      </w:pPr>
      <w:r>
        <w:t xml:space="preserve">Changing to a more suitable job </w:t>
      </w:r>
      <w:r w:rsidR="007A62E0">
        <w:t>also enabled people to find non-disabling work environments</w:t>
      </w:r>
      <w:r>
        <w:t xml:space="preserve">, </w:t>
      </w:r>
      <w:r w:rsidR="007A62E0">
        <w:t>for which better qualifications directly helped</w:t>
      </w:r>
      <w:r w:rsidR="00C74744">
        <w:t xml:space="preserve">.  </w:t>
      </w:r>
      <w:r w:rsidR="007A62E0">
        <w:t xml:space="preserve"> </w:t>
      </w:r>
      <w:r w:rsidR="00713B59">
        <w:t xml:space="preserve">This goes beyond the important Beatty &amp; Fothergill account: it is not (just) that less employable people found it harder to find work (‘hidden unemployment’), but that they found it harder to find </w:t>
      </w:r>
      <w:r w:rsidR="00713B59">
        <w:rPr>
          <w:i/>
        </w:rPr>
        <w:t>suitable</w:t>
      </w:r>
      <w:r w:rsidR="00713B59">
        <w:t xml:space="preserve"> work, which meant they were </w:t>
      </w:r>
      <w:r w:rsidR="00713B59">
        <w:rPr>
          <w:i/>
        </w:rPr>
        <w:t xml:space="preserve">genuinely </w:t>
      </w:r>
      <w:r w:rsidR="00713B59">
        <w:t>incapacitated.</w:t>
      </w:r>
      <w:r w:rsidR="00C74744">
        <w:t xml:space="preserve"> </w:t>
      </w:r>
      <w:r w:rsidR="00713B59">
        <w:t xml:space="preserve"> </w:t>
      </w:r>
      <w:r w:rsidR="00C74744">
        <w:t xml:space="preserve">Some low-qualified people </w:t>
      </w:r>
      <w:r w:rsidR="007A62E0">
        <w:t xml:space="preserve">who had to move field </w:t>
      </w:r>
      <w:r w:rsidR="00C74744">
        <w:t>therefore faced a ‘Catch-22’ situation where they were not employable enough to get the jobs that their health allowed them to do, but not fit enough to do the jobs that they were skilled</w:t>
      </w:r>
      <w:r w:rsidR="00EC5849">
        <w:t xml:space="preserve"> or </w:t>
      </w:r>
      <w:r w:rsidR="00C74744">
        <w:t xml:space="preserve">experienced enough to get – </w:t>
      </w:r>
      <w:r w:rsidR="00790EE9">
        <w:t xml:space="preserve">leaving only a remote </w:t>
      </w:r>
      <w:r w:rsidR="00C74744">
        <w:t xml:space="preserve">possibility of </w:t>
      </w:r>
      <w:r w:rsidR="00DD21AA">
        <w:t>finding suitable work</w:t>
      </w:r>
      <w:r w:rsidR="00C74744">
        <w:t>.</w:t>
      </w:r>
    </w:p>
    <w:p w14:paraId="0CB586B5" w14:textId="6343C2B4" w:rsidR="00EC5849" w:rsidRDefault="00EC5849" w:rsidP="00947E73">
      <w:pPr>
        <w:spacing w:line="480" w:lineRule="auto"/>
      </w:pPr>
      <w:r w:rsidRPr="000E0348">
        <w:t xml:space="preserve">This is not to suggest that </w:t>
      </w:r>
      <w:r w:rsidR="00A529C0">
        <w:t xml:space="preserve">all </w:t>
      </w:r>
      <w:r>
        <w:t>lower</w:t>
      </w:r>
      <w:r w:rsidRPr="000E0348">
        <w:t>-</w:t>
      </w:r>
      <w:r>
        <w:t xml:space="preserve">qualified </w:t>
      </w:r>
      <w:r w:rsidRPr="000E0348">
        <w:t xml:space="preserve">people </w:t>
      </w:r>
      <w:r>
        <w:t xml:space="preserve">had </w:t>
      </w:r>
      <w:r w:rsidRPr="000E0348">
        <w:t xml:space="preserve">no </w:t>
      </w:r>
      <w:r w:rsidR="00790EE9">
        <w:t>options</w:t>
      </w:r>
      <w:r>
        <w:t>.  T</w:t>
      </w:r>
      <w:r w:rsidRPr="000E0348">
        <w:t xml:space="preserve">hey too </w:t>
      </w:r>
      <w:r>
        <w:t xml:space="preserve">were </w:t>
      </w:r>
      <w:r w:rsidRPr="000E0348">
        <w:t xml:space="preserve">sometimes </w:t>
      </w:r>
      <w:r>
        <w:t xml:space="preserve">able to </w:t>
      </w:r>
      <w:r w:rsidRPr="000E0348">
        <w:t xml:space="preserve">move </w:t>
      </w:r>
      <w:r>
        <w:t>in</w:t>
      </w:r>
      <w:r w:rsidRPr="000E0348">
        <w:t>to more suitable jobs</w:t>
      </w:r>
      <w:r>
        <w:t xml:space="preserve"> through a </w:t>
      </w:r>
      <w:r w:rsidR="00DD21AA">
        <w:t xml:space="preserve">fortuitous </w:t>
      </w:r>
      <w:r>
        <w:t>combination of events</w:t>
      </w:r>
      <w:r w:rsidR="007A62E0">
        <w:t xml:space="preserve">, or could </w:t>
      </w:r>
      <w:r w:rsidRPr="000E0348">
        <w:t xml:space="preserve">be in the sorts of jobs where employer adjustments </w:t>
      </w:r>
      <w:r w:rsidR="0045428C">
        <w:t>could make a difference</w:t>
      </w:r>
      <w:r w:rsidRPr="000E0348">
        <w:t xml:space="preserve">.  </w:t>
      </w:r>
      <w:r>
        <w:t xml:space="preserve">Yet while it is a legal obligation in many countries to make ‘reasonable’ adjustments, the bar of ‘reasonableness’ is high – some tasks are too </w:t>
      </w:r>
      <w:r w:rsidR="00BC5215">
        <w:t xml:space="preserve">important </w:t>
      </w:r>
      <w:r>
        <w:t xml:space="preserve">to be </w:t>
      </w:r>
      <w:r w:rsidR="00BC5215">
        <w:t>removed;</w:t>
      </w:r>
      <w:r>
        <w:t xml:space="preserve"> studies of employers found they are worried about the resentment they induce among colleagues </w:t>
      </w:r>
      <w:r w:rsidR="00390DAE">
        <w:fldChar w:fldCharType="begin"/>
      </w:r>
      <w:r w:rsidR="00390DAE">
        <w:instrText xml:space="preserve"> ADDIN EN.CITE &lt;EndNote&gt;&lt;Cite&gt;&lt;Author&gt;Sainsbury&lt;/Author&gt;&lt;Year&gt;2008&lt;/Year&gt;&lt;RecNum&gt;731&lt;/RecNum&gt;&lt;Suffix&gt;:89&lt;/Suffix&gt;&lt;DisplayText&gt;(Sainsbury et al. 2008:89)&lt;/DisplayText&gt;&lt;record&gt;&lt;rec-number&gt;731&lt;/rec-number&gt;&lt;foreign-keys&gt;&lt;key app="EN" db-id="0r2ffr5x6st05beff5rper2ax9sw5d9w0vzp" timestamp="0"&gt;731&lt;/key&gt;&lt;/foreign-keys&gt;&lt;ref-type name="Report"&gt;27&lt;/ref-type&gt;&lt;contributors&gt;&lt;authors&gt;&lt;author&gt;Roy Sainsbury&lt;/author&gt;&lt;author&gt;Annie Irvine&lt;/author&gt;&lt;author&gt;Jane Aston&lt;/author&gt;&lt;author&gt;Sally Wilson&lt;/author&gt;&lt;author&gt;Ceri Williams&lt;/author&gt;&lt;author&gt;Alice Sinclair&lt;/author&gt;&lt;/authors&gt;&lt;/contributors&gt;&lt;titles&gt;&lt;title&gt;Mental health and employment&lt;/title&gt;&lt;secondary-title&gt;Department for Work and Pensions Research Report No 513&lt;/secondary-title&gt;&lt;/titles&gt;&lt;dates&gt;&lt;year&gt;2008&lt;/year&gt;&lt;/dates&gt;&lt;urls&gt;&lt;related-urls&gt;&lt;url&gt;http://193.129.121.133/asd/asd5/rports2007-2008/rrep513.pdf [accessed 16/6/2011]&lt;/url&gt;&lt;/related-urls&gt;&lt;/urls&gt;&lt;custom1&gt;Read&lt;/custom1&gt;&lt;/record&gt;&lt;/Cite&gt;&lt;/EndNote&gt;</w:instrText>
      </w:r>
      <w:r w:rsidR="00390DAE">
        <w:fldChar w:fldCharType="separate"/>
      </w:r>
      <w:r w:rsidR="00390DAE">
        <w:rPr>
          <w:noProof/>
        </w:rPr>
        <w:t>(</w:t>
      </w:r>
      <w:hyperlink w:anchor="_ENREF_38" w:tooltip="Sainsbury, 2008 #731" w:history="1">
        <w:r w:rsidR="003242B5">
          <w:rPr>
            <w:noProof/>
          </w:rPr>
          <w:t>Sainsbury et al. 2008:89</w:t>
        </w:r>
      </w:hyperlink>
      <w:r w:rsidR="00390DAE">
        <w:rPr>
          <w:noProof/>
        </w:rPr>
        <w:t>)</w:t>
      </w:r>
      <w:r w:rsidR="00390DAE">
        <w:fldChar w:fldCharType="end"/>
      </w:r>
      <w:r w:rsidR="00BC5215">
        <w:t>;</w:t>
      </w:r>
      <w:r>
        <w:t xml:space="preserve"> </w:t>
      </w:r>
      <w:r w:rsidR="0045428C">
        <w:t xml:space="preserve">and </w:t>
      </w:r>
      <w:r>
        <w:t xml:space="preserve">permanent reductions in workload are rare </w:t>
      </w:r>
      <w:r w:rsidR="00390DAE">
        <w:fldChar w:fldCharType="begin">
          <w:fldData xml:space="preserve">PEVuZE5vdGU+PENpdGU+PEF1dGhvcj5HZXd1cnR6PC9BdXRob3I+PFllYXI+MjAwOTwvWWVhcj48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</w:fldData>
        </w:fldChar>
      </w:r>
      <w:r w:rsidR="00390DAE">
        <w:instrText xml:space="preserve"> ADDIN EN.CITE </w:instrText>
      </w:r>
      <w:r w:rsidR="00390DAE">
        <w:fldChar w:fldCharType="begin">
          <w:fldData xml:space="preserve">PEVuZE5vdGU+PENpdGU+PEF1dGhvcj5HZXd1cnR6PC9BdXRob3I+PFllYXI+MjAwOTwvWWVhcj48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</w:fldData>
        </w:fldChar>
      </w:r>
      <w:r w:rsidR="00390DAE">
        <w:instrText xml:space="preserve"> ADDIN EN.CITE.DATA </w:instrText>
      </w:r>
      <w:r w:rsidR="00390DAE">
        <w:fldChar w:fldCharType="end"/>
      </w:r>
      <w:r w:rsidR="00390DAE">
        <w:fldChar w:fldCharType="separate"/>
      </w:r>
      <w:r w:rsidR="00390DAE">
        <w:rPr>
          <w:noProof/>
        </w:rPr>
        <w:t xml:space="preserve">(as also found in </w:t>
      </w:r>
      <w:hyperlink w:anchor="_ENREF_10" w:tooltip="Gewurtz, 2009 #1009" w:history="1">
        <w:r w:rsidR="003242B5">
          <w:rPr>
            <w:noProof/>
          </w:rPr>
          <w:t>Gewurtz and Kirs 2009</w:t>
        </w:r>
      </w:hyperlink>
      <w:r w:rsidR="00390DAE">
        <w:rPr>
          <w:noProof/>
        </w:rPr>
        <w:t xml:space="preserve">, </w:t>
      </w:r>
      <w:hyperlink w:anchor="_ENREF_38" w:tooltip="Sainsbury, 2008 #731" w:history="1">
        <w:r w:rsidR="003242B5">
          <w:rPr>
            <w:noProof/>
          </w:rPr>
          <w:t>Sainsbury et al. 2008:91-2</w:t>
        </w:r>
      </w:hyperlink>
      <w:r w:rsidR="00390DAE">
        <w:rPr>
          <w:noProof/>
        </w:rPr>
        <w:t>)</w:t>
      </w:r>
      <w:r w:rsidR="00390DAE">
        <w:fldChar w:fldCharType="end"/>
      </w:r>
      <w:r>
        <w:t xml:space="preserve">.  </w:t>
      </w:r>
      <w:r w:rsidR="00713B59">
        <w:t>W</w:t>
      </w:r>
      <w:r w:rsidR="0045428C">
        <w:t xml:space="preserve">hile education did not determine outcomes on its own, there were </w:t>
      </w:r>
      <w:r w:rsidR="008439A8">
        <w:t xml:space="preserve">simply </w:t>
      </w:r>
      <w:r w:rsidR="0045428C">
        <w:t>fewer ways of avoiding incapacity among lower-educated respondents.</w:t>
      </w:r>
    </w:p>
    <w:p w14:paraId="2C9CC5CA" w14:textId="670A8672" w:rsidR="00F71067" w:rsidRDefault="00134826" w:rsidP="00947E73">
      <w:pPr>
        <w:spacing w:line="480" w:lineRule="auto"/>
      </w:pPr>
      <w:r>
        <w:lastRenderedPageBreak/>
        <w:t xml:space="preserve">Beyond this, there is a further dimension of inequality around whether </w:t>
      </w:r>
      <w:r w:rsidR="000E0348">
        <w:t xml:space="preserve">people </w:t>
      </w:r>
      <w:r w:rsidR="0045428C">
        <w:t xml:space="preserve">had </w:t>
      </w:r>
      <w:r w:rsidR="000E0348">
        <w:t>control over ‘struggl</w:t>
      </w:r>
      <w:r>
        <w:t>ing</w:t>
      </w:r>
      <w:r w:rsidR="000E0348">
        <w:t xml:space="preserve"> on’ </w:t>
      </w:r>
      <w:r w:rsidR="00390DAE">
        <w:fldChar w:fldCharType="begin"/>
      </w:r>
      <w:r w:rsidR="00390DAE">
        <w:instrText xml:space="preserve"> ADDIN EN.CITE &lt;EndNote&gt;&lt;Cite&gt;&lt;Author&gt;Sainsbury&lt;/Author&gt;&lt;Year&gt;2006&lt;/Year&gt;&lt;RecNum&gt;143&lt;/RecNum&gt;&lt;DisplayText&gt;(Sainsbury and Davidson 2006)&lt;/DisplayText&gt;&lt;record&gt;&lt;rec-number&gt;143&lt;/rec-number&gt;&lt;foreign-keys&gt;&lt;key app="EN" db-id="0r2ffr5x6st05beff5rper2ax9sw5d9w0vzp" timestamp="0"&gt;143&lt;/key&gt;&lt;/foreign-keys&gt;&lt;ref-type name="Report"&gt;27&lt;/ref-type&gt;&lt;contributors&gt;&lt;authors&gt;&lt;author&gt;Sainsbury,Roy&lt;/author&gt;&lt;author&gt;Davidson,Jacqueline&lt;/author&gt;&lt;/authors&gt;&lt;/contributors&gt;&lt;titles&gt;&lt;title&gt;Routes onto incapacity benefits: Findings from qualitative research&lt;/title&gt;&lt;secondary-title&gt;Department for Work and Pensions Research Report No 350&lt;/secondary-title&gt;&lt;/titles&gt;&lt;keywords&gt;&lt;keyword&gt;job demands&lt;/keyword&gt;&lt;keyword&gt;job control&lt;/keyword&gt;&lt;keyword&gt;labour demand - health&lt;/keyword&gt;&lt;/keywords&gt;&lt;dates&gt;&lt;year&gt;2006&lt;/year&gt;&lt;/dates&gt;&lt;pub-location&gt;Leeds&lt;/pub-location&gt;&lt;publisher&gt;Corporate Document Services&lt;/publisher&gt;&lt;urls&gt;&lt;related-urls&gt;&lt;url&gt;http://www.dwp.gov.uk/asd/asd5/rports2005-2006/rrep350.pdf&lt;/url&gt;&lt;/related-urls&gt;&lt;/urls&gt;&lt;custom1&gt;Read&lt;/custom1&gt;&lt;custom3&gt;UK&lt;/custom3&gt;&lt;/record&gt;&lt;/Cite&gt;&lt;/EndNote&gt;</w:instrText>
      </w:r>
      <w:r w:rsidR="00390DAE">
        <w:fldChar w:fldCharType="separate"/>
      </w:r>
      <w:r w:rsidR="00390DAE">
        <w:rPr>
          <w:noProof/>
        </w:rPr>
        <w:t>(</w:t>
      </w:r>
      <w:hyperlink w:anchor="_ENREF_37" w:tooltip="Sainsbury, 2006 #143" w:history="1">
        <w:r w:rsidR="003242B5">
          <w:rPr>
            <w:noProof/>
          </w:rPr>
          <w:t>Sainsbury and Davidson 2006</w:t>
        </w:r>
      </w:hyperlink>
      <w:r w:rsidR="00390DAE">
        <w:rPr>
          <w:noProof/>
        </w:rPr>
        <w:t>)</w:t>
      </w:r>
      <w:r w:rsidR="00390DAE">
        <w:fldChar w:fldCharType="end"/>
      </w:r>
      <w:r w:rsidR="00790EE9" w:rsidRPr="004C48DF">
        <w:t xml:space="preserve"> </w:t>
      </w:r>
      <w:r w:rsidR="000E0348">
        <w:t>in a partly-disabling environment</w:t>
      </w:r>
      <w:r w:rsidR="000E0348" w:rsidRPr="000E0348">
        <w:t xml:space="preserve">.  </w:t>
      </w:r>
      <w:r w:rsidR="0045428C">
        <w:t>E</w:t>
      </w:r>
      <w:r w:rsidR="00BC5215">
        <w:t xml:space="preserve">mployers </w:t>
      </w:r>
      <w:r>
        <w:t xml:space="preserve">sometimes pressurised struggling workers to take sickness absence, and then </w:t>
      </w:r>
      <w:r w:rsidR="00BC5215">
        <w:t>terminate</w:t>
      </w:r>
      <w:r>
        <w:t>d</w:t>
      </w:r>
      <w:r w:rsidR="00BC5215">
        <w:t xml:space="preserve"> the contracts of w</w:t>
      </w:r>
      <w:r w:rsidR="00BF4DDC" w:rsidRPr="004C48DF">
        <w:t xml:space="preserve">orkers </w:t>
      </w:r>
      <w:r w:rsidR="00713B59">
        <w:t xml:space="preserve">with long-term absence or repeated short-term absence </w:t>
      </w:r>
      <w:r w:rsidR="00390DAE">
        <w:fldChar w:fldCharType="begin"/>
      </w:r>
      <w:r w:rsidR="00390DAE">
        <w:instrText xml:space="preserve"> ADDIN EN.CITE &lt;EndNote&gt;&lt;Cite&gt;&lt;Author&gt;Sainsbury&lt;/Author&gt;&lt;Year&gt;2006&lt;/Year&gt;&lt;RecNum&gt;143&lt;/RecNum&gt;&lt;Suffix&gt;:38-51&lt;/Suffix&gt;&lt;DisplayText&gt;(Sainsbury and Davidson 2006:38-51)&lt;/DisplayText&gt;&lt;record&gt;&lt;rec-number&gt;143&lt;/rec-number&gt;&lt;foreign-keys&gt;&lt;key app="EN" db-id="0r2ffr5x6st05beff5rper2ax9sw5d9w0vzp" timestamp="0"&gt;143&lt;/key&gt;&lt;/foreign-keys&gt;&lt;ref-type name="Report"&gt;27&lt;/ref-type&gt;&lt;contributors&gt;&lt;authors&gt;&lt;author&gt;Sainsbury,Roy&lt;/author&gt;&lt;author&gt;Davidson,Jacqueline&lt;/author&gt;&lt;/authors&gt;&lt;/contributors&gt;&lt;titles&gt;&lt;title&gt;Routes onto incapacity benefits: Findings from qualitative research&lt;/title&gt;&lt;secondary-title&gt;Department for Work and Pensions Research Report No 350&lt;/secondary-title&gt;&lt;/titles&gt;&lt;keywords&gt;&lt;keyword&gt;job demands&lt;/keyword&gt;&lt;keyword&gt;job control&lt;/keyword&gt;&lt;keyword&gt;labour demand - health&lt;/keyword&gt;&lt;/keywords&gt;&lt;dates&gt;&lt;year&gt;2006&lt;/year&gt;&lt;/dates&gt;&lt;pub-location&gt;Leeds&lt;/pub-location&gt;&lt;publisher&gt;Corporate Document Services&lt;/publisher&gt;&lt;urls&gt;&lt;related-urls&gt;&lt;url&gt;http://www.dwp.gov.uk/asd/asd5/rports2005-2006/rrep350.pdf&lt;/url&gt;&lt;/related-urls&gt;&lt;/urls&gt;&lt;custom1&gt;Read&lt;/custom1&gt;&lt;custom3&gt;UK&lt;/custom3&gt;&lt;/record&gt;&lt;/Cite&gt;&lt;/EndNote&gt;</w:instrText>
      </w:r>
      <w:r w:rsidR="00390DAE">
        <w:fldChar w:fldCharType="separate"/>
      </w:r>
      <w:r w:rsidR="00390DAE">
        <w:rPr>
          <w:noProof/>
        </w:rPr>
        <w:t>(</w:t>
      </w:r>
      <w:hyperlink w:anchor="_ENREF_37" w:tooltip="Sainsbury, 2006 #143" w:history="1">
        <w:r w:rsidR="003242B5">
          <w:rPr>
            <w:noProof/>
          </w:rPr>
          <w:t>Sainsbury and Davidson 2006:38-51</w:t>
        </w:r>
      </w:hyperlink>
      <w:r w:rsidR="00390DAE">
        <w:rPr>
          <w:noProof/>
        </w:rPr>
        <w:t>)</w:t>
      </w:r>
      <w:r w:rsidR="00390DAE">
        <w:fldChar w:fldCharType="end"/>
      </w:r>
      <w:r>
        <w:t xml:space="preserve">.  Furthermore, </w:t>
      </w:r>
      <w:r w:rsidR="0045428C">
        <w:t xml:space="preserve">people </w:t>
      </w:r>
      <w:r>
        <w:t xml:space="preserve">themselves </w:t>
      </w:r>
      <w:r w:rsidR="00790EE9">
        <w:t>question</w:t>
      </w:r>
      <w:r w:rsidR="007143BE">
        <w:t>ed</w:t>
      </w:r>
      <w:r w:rsidR="00790EE9">
        <w:t xml:space="preserve"> whether they want</w:t>
      </w:r>
      <w:r w:rsidR="00DD21AA">
        <w:t>ed</w:t>
      </w:r>
      <w:r w:rsidR="00790EE9">
        <w:t xml:space="preserve"> to continue struggling in the face of pain and exhaustion </w:t>
      </w:r>
      <w:r w:rsidR="00390DAE">
        <w:fldChar w:fldCharType="begin"/>
      </w:r>
      <w:r w:rsidR="00390DAE">
        <w:instrText xml:space="preserve"> ADDIN EN.CITE &lt;EndNote&gt;&lt;Cite&gt;&lt;Author&gt;Wilton&lt;/Author&gt;&lt;Year&gt;2008&lt;/Year&gt;&lt;RecNum&gt;679&lt;/RecNum&gt;&lt;DisplayText&gt;(Wilton 2008)&lt;/DisplayText&gt;&lt;record&gt;&lt;rec-number&gt;679&lt;/rec-number&gt;&lt;foreign-keys&gt;&lt;key app="EN" db-id="0r2ffr5x6st05beff5rper2ax9sw5d9w0vzp" timestamp="0"&gt;679&lt;/key&gt;&lt;/foreign-keys&gt;&lt;ref-type name="Journal Article"&gt;17&lt;/ref-type&gt;&lt;contributors&gt;&lt;authors&gt;&lt;author&gt;Wilton,Robert D&lt;/author&gt;&lt;/authors&gt;&lt;/contributors&gt;&lt;titles&gt;&lt;title&gt;Workers with disabilities and the challenges of emotional labour&lt;/title&gt;&lt;secondary-title&gt;Disability &amp;amp; Society&lt;/secondary-title&gt;&lt;/titles&gt;&lt;periodical&gt;&lt;full-title&gt;Disability &amp;amp; Society&lt;/full-title&gt;&lt;/periodical&gt;&lt;pages&gt;361-373&lt;/pages&gt;&lt;volume&gt;23&lt;/volume&gt;&lt;number&gt;4&lt;/number&gt;&lt;keywords&gt;&lt;keyword&gt;job tasks&lt;/keyword&gt;&lt;/keywords&gt;&lt;dates&gt;&lt;year&gt;2008&lt;/year&gt;&lt;/dates&gt;&lt;urls&gt;&lt;related-urls&gt;&lt;url&gt;http://dx.doi.org/10.1080/09687590802038878&lt;/url&gt;&lt;/related-urls&gt;&lt;/urls&gt;&lt;custom1&gt;Read&lt;/custom1&gt;&lt;custom3&gt;Canada&lt;/custom3&gt;&lt;research-notes&gt;Quali interviews with 59 people who had disabilities and worked in service-sector occupations&lt;/research-notes&gt;&lt;/record&gt;&lt;/Cite&gt;&lt;/EndNote&gt;</w:instrText>
      </w:r>
      <w:r w:rsidR="00390DAE">
        <w:fldChar w:fldCharType="separate"/>
      </w:r>
      <w:r w:rsidR="00390DAE">
        <w:rPr>
          <w:noProof/>
        </w:rPr>
        <w:t>(</w:t>
      </w:r>
      <w:hyperlink w:anchor="_ENREF_42" w:tooltip="Wilton, 2008 #679" w:history="1">
        <w:r w:rsidR="003242B5">
          <w:rPr>
            <w:noProof/>
          </w:rPr>
          <w:t>Wilton 2008</w:t>
        </w:r>
      </w:hyperlink>
      <w:r w:rsidR="00390DAE">
        <w:rPr>
          <w:noProof/>
        </w:rPr>
        <w:t>)</w:t>
      </w:r>
      <w:r w:rsidR="00390DAE">
        <w:fldChar w:fldCharType="end"/>
      </w:r>
      <w:r w:rsidR="00790EE9">
        <w:t xml:space="preserve">.  </w:t>
      </w:r>
      <w:r w:rsidR="00BF4DDC">
        <w:t xml:space="preserve">Reduced hours </w:t>
      </w:r>
      <w:r w:rsidR="00790EE9">
        <w:t>were a common response</w:t>
      </w:r>
      <w:r w:rsidR="003242B5">
        <w:t>,</w:t>
      </w:r>
      <w:r w:rsidR="00790EE9">
        <w:t xml:space="preserve"> </w:t>
      </w:r>
      <w:r w:rsidR="00BF4DDC">
        <w:t xml:space="preserve">yet </w:t>
      </w:r>
      <w:r w:rsidR="000F7675">
        <w:t xml:space="preserve">it is notable that </w:t>
      </w:r>
      <w:r w:rsidR="00BF4DDC">
        <w:t xml:space="preserve">the costs of this are borne by the </w:t>
      </w:r>
      <w:r w:rsidR="00BC5215">
        <w:t xml:space="preserve">worker </w:t>
      </w:r>
      <w:r w:rsidR="00BF4DDC">
        <w:t>themselves.</w:t>
      </w:r>
      <w:r w:rsidR="00790EE9">
        <w:t xml:space="preserve">  </w:t>
      </w:r>
      <w:r w:rsidR="0045428C">
        <w:t>T</w:t>
      </w:r>
      <w:r w:rsidR="00790EE9">
        <w:t xml:space="preserve">he viability of both reduced hours and stopping work therefore depended on their ability to cope with reduced </w:t>
      </w:r>
      <w:r w:rsidR="0045428C">
        <w:t xml:space="preserve">income, and again, there is extensive evidence that </w:t>
      </w:r>
      <w:r w:rsidR="00713B59">
        <w:t xml:space="preserve">income/wealth are associated with education </w:t>
      </w:r>
      <w:r w:rsidR="003242B5">
        <w:fldChar w:fldCharType="begin"/>
      </w:r>
      <w:r w:rsidR="003242B5">
        <w:instrText xml:space="preserve"> ADDIN EN.CITE &lt;EndNote&gt;&lt;Cite&gt;&lt;Author&gt;Karagiannaki&lt;/Author&gt;&lt;Year&gt;2011&lt;/Year&gt;&lt;RecNum&gt;1733&lt;/RecNum&gt;&lt;DisplayText&gt;(Karagiannaki 2011)&lt;/DisplayText&gt;&lt;record&gt;&lt;rec-number&gt;1733&lt;/rec-number&gt;&lt;foreign-keys&gt;&lt;key app="EN" db-id="0r2ffr5x6st05beff5rper2ax9sw5d9w0vzp" timestamp="1409133252"&gt;1733&lt;/key&gt;&lt;/foreign-keys&gt;&lt;ref-type name="Report"&gt;27&lt;/ref-type&gt;&lt;contributors&gt;&lt;authors&gt;&lt;author&gt;Eleni Karagiannaki&lt;/author&gt;&lt;/authors&gt;&lt;/contributors&gt;&lt;titles&gt;&lt;title&gt;The Magnitude and Correlates of Inter-vivos Transfers in the UK&lt;/title&gt;&lt;secondary-title&gt;CASEpaper 151&lt;/secondary-title&gt;&lt;/titles&gt;&lt;dates&gt;&lt;year&gt;2011&lt;/year&gt;&lt;/dates&gt;&lt;pub-location&gt;London&lt;/pub-location&gt;&lt;publisher&gt;Centre for Analysis of Social Exclusion (CASE), London School of Economics&lt;/publisher&gt;&lt;urls&gt;&lt;/urls&gt;&lt;/record&gt;&lt;/Cite&gt;&lt;/EndNote&gt;</w:instrText>
      </w:r>
      <w:r w:rsidR="003242B5">
        <w:fldChar w:fldCharType="separate"/>
      </w:r>
      <w:r w:rsidR="003242B5">
        <w:rPr>
          <w:noProof/>
        </w:rPr>
        <w:t>(</w:t>
      </w:r>
      <w:hyperlink w:anchor="_ENREF_21" w:tooltip="Karagiannaki, 2011 #1733" w:history="1">
        <w:r w:rsidR="003242B5">
          <w:rPr>
            <w:noProof/>
          </w:rPr>
          <w:t>Karagiannaki 2011</w:t>
        </w:r>
      </w:hyperlink>
      <w:r w:rsidR="003242B5">
        <w:rPr>
          <w:noProof/>
        </w:rPr>
        <w:t>)</w:t>
      </w:r>
      <w:r w:rsidR="003242B5">
        <w:fldChar w:fldCharType="end"/>
      </w:r>
      <w:r w:rsidR="00790EE9">
        <w:t>.</w:t>
      </w:r>
    </w:p>
    <w:p w14:paraId="282F1B69" w14:textId="19D4A6FF" w:rsidR="00790EE9" w:rsidRDefault="00713B59" w:rsidP="00947E73">
      <w:pPr>
        <w:spacing w:line="480" w:lineRule="auto"/>
      </w:pPr>
      <w:r>
        <w:t xml:space="preserve">It is worth clarifying the basis on which these conclusions have been made.  The study </w:t>
      </w:r>
      <w:r w:rsidR="008439A8">
        <w:t xml:space="preserve">itself </w:t>
      </w:r>
      <w:r>
        <w:t xml:space="preserve">showed the processes through which certain </w:t>
      </w:r>
      <w:r w:rsidR="008439A8">
        <w:t xml:space="preserve">people had choices in responding to </w:t>
      </w:r>
      <w:r>
        <w:t>impairments</w:t>
      </w:r>
      <w:r w:rsidR="008439A8">
        <w:t xml:space="preserve">, </w:t>
      </w:r>
      <w:r w:rsidR="00134826">
        <w:t xml:space="preserve">whereas </w:t>
      </w:r>
      <w:r w:rsidR="008439A8">
        <w:t>others had none</w:t>
      </w:r>
      <w:r>
        <w:t xml:space="preserve">.  Education’s role </w:t>
      </w:r>
      <w:r w:rsidR="008439A8">
        <w:t>in increasing the choices available wa</w:t>
      </w:r>
      <w:r>
        <w:t>s partly direct (</w:t>
      </w:r>
      <w:r w:rsidR="008439A8">
        <w:t xml:space="preserve">for </w:t>
      </w:r>
      <w:r>
        <w:t xml:space="preserve">employability), but partly </w:t>
      </w:r>
      <w:r w:rsidR="008439A8">
        <w:t xml:space="preserve">a matter of </w:t>
      </w:r>
      <w:r>
        <w:t>indirect</w:t>
      </w:r>
      <w:r w:rsidR="008439A8">
        <w:t xml:space="preserve"> probabilistic relationships (for </w:t>
      </w:r>
      <w:r w:rsidR="00134826">
        <w:t xml:space="preserve">flexibility </w:t>
      </w:r>
      <w:r w:rsidR="008439A8">
        <w:t xml:space="preserve">and wealth) </w:t>
      </w:r>
      <w:r w:rsidR="00134826">
        <w:t>confirmed in other studies</w:t>
      </w:r>
      <w:r>
        <w:t>.</w:t>
      </w:r>
      <w:r w:rsidR="008439A8">
        <w:t xml:space="preserve">  While further research is necessary (see below), </w:t>
      </w:r>
      <w:r w:rsidR="00134826">
        <w:t xml:space="preserve">it is clear that </w:t>
      </w:r>
      <w:r w:rsidR="00FB7F77" w:rsidRPr="00F159ED">
        <w:t xml:space="preserve">incapacity results from the </w:t>
      </w:r>
      <w:r w:rsidR="00FB7F77" w:rsidRPr="00F159ED">
        <w:rPr>
          <w:i/>
        </w:rPr>
        <w:t>combination</w:t>
      </w:r>
      <w:r w:rsidR="00FB7F77" w:rsidRPr="00F159ED">
        <w:t xml:space="preserve"> of impairments with disabling work environments</w:t>
      </w:r>
      <w:r w:rsidR="00FB7F77">
        <w:t>,</w:t>
      </w:r>
      <w:r w:rsidR="00FB7F77" w:rsidRPr="00F159ED">
        <w:t xml:space="preserve"> and </w:t>
      </w:r>
      <w:r w:rsidR="00134826">
        <w:t xml:space="preserve">it seems </w:t>
      </w:r>
      <w:r w:rsidR="00FB7F77" w:rsidRPr="00F159ED">
        <w:t xml:space="preserve">that better-educated people were better-able to stop impairments becoming incapacitating </w:t>
      </w:r>
      <w:r w:rsidR="008439A8">
        <w:t>– a finding whose implications we now consider</w:t>
      </w:r>
      <w:r w:rsidR="00FB7F77">
        <w:t xml:space="preserve"> for both research and policy</w:t>
      </w:r>
      <w:r w:rsidR="008439A8">
        <w:t>.</w:t>
      </w:r>
    </w:p>
    <w:p w14:paraId="1D51E9DE" w14:textId="77777777" w:rsidR="00F25A72" w:rsidRDefault="000F7675" w:rsidP="00947E73">
      <w:pPr>
        <w:pStyle w:val="Heading3"/>
        <w:spacing w:line="480" w:lineRule="auto"/>
      </w:pPr>
      <w:r>
        <w:t>Implications</w:t>
      </w:r>
    </w:p>
    <w:p w14:paraId="2B194B80" w14:textId="4899A265" w:rsidR="00B46C3D" w:rsidRDefault="00E14C84">
      <w:pPr>
        <w:spacing w:line="480" w:lineRule="auto"/>
      </w:pPr>
      <w:r>
        <w:t>A first implication relates to academic debates.  T</w:t>
      </w:r>
      <w:r w:rsidR="00B46C3D" w:rsidRPr="00B46C3D">
        <w:t>his study suggests that the concentration of incapacity claims in lower-qualified people may not just be a matter of ‘hidden unemployment’</w:t>
      </w:r>
      <w:r w:rsidR="00CD21BB">
        <w:t xml:space="preserve"> as Beatty &amp; Fothergill suggest</w:t>
      </w:r>
      <w:r w:rsidR="00B46C3D" w:rsidRPr="00B46C3D">
        <w:t>, but because lower-qualified people are genuinely more incapacitated</w:t>
      </w:r>
      <w:r w:rsidR="00CD21BB">
        <w:t>, due to workplace factors and their interactions with labour market factors</w:t>
      </w:r>
      <w:r w:rsidR="00B46C3D" w:rsidRPr="00B46C3D">
        <w:t xml:space="preserve">.  However, while the processes underlying hidden unemployment are extensively documented, the processes </w:t>
      </w:r>
      <w:r w:rsidR="00A529C0">
        <w:t xml:space="preserve">underlying incapacity </w:t>
      </w:r>
      <w:r w:rsidR="00B46C3D" w:rsidRPr="00B46C3D">
        <w:t xml:space="preserve">are less so.  De Raeve et al </w:t>
      </w:r>
      <w:r w:rsidR="00390DAE">
        <w:fldChar w:fldCharType="begin"/>
      </w:r>
      <w:r w:rsidR="00390DAE">
        <w:instrText xml:space="preserve"> ADDIN EN.CITE &lt;EndNote&gt;&lt;Cite ExcludeAuth="1"&gt;&lt;Author&gt;De Raeve&lt;/Author&gt;&lt;Year&gt;2009&lt;/Year&gt;&lt;RecNum&gt;1655&lt;/RecNum&gt;&lt;DisplayText&gt;(2009)&lt;/DisplayText&gt;&lt;record&gt;&lt;rec-number&gt;1655&lt;/rec-number&gt;&lt;foreign-keys&gt;&lt;key app="EN" db-id="0r2ffr5x6st05beff5rper2ax9sw5d9w0vzp" timestamp="0"&gt;1655&lt;/key&gt;&lt;/foreign-keys&gt;&lt;ref-type name="Journal Article"&gt;17&lt;/ref-type&gt;&lt;contributors&gt;&lt;authors&gt;&lt;author&gt;De Raeve,Lore &lt;/author&gt;&lt;author&gt;IJmert Kant&lt;/author&gt;&lt;author&gt;Jansen,Nicole W.H. &lt;/author&gt;&lt;author&gt;Vasse,Rineke M. &lt;/author&gt;&lt;author&gt;van den Brandt, P. A.&lt;/author&gt;&lt;/authors&gt;&lt;/contributors&gt;&lt;titles&gt;&lt;title&gt;Changes in mental health as apredictor of changes in working time arrangements and occupational mobility: Results from a prospective cohort study&lt;/title&gt;&lt;secondary-title&gt;Journal of Psychosomatic Research&lt;/secondary-title&gt;&lt;/titles&gt;&lt;periodical&gt;&lt;full-title&gt;Journal of Psychosomatic Research&lt;/full-title&gt;&lt;/periodical&gt;&lt;pages&gt;137-145&lt;/pages&gt;&lt;volume&gt;66&lt;/volume&gt;&lt;number&gt;2&lt;/number&gt;&lt;dates&gt;&lt;year&gt;2009&lt;/year&gt;&lt;/dates&gt;&lt;urls&gt;&lt;related-urls&gt;&lt;url&gt;https://atmire.com/labs17/bitstream/handle/123456789/6723/file14516.pdf?sequence=1&lt;/url&gt;&lt;/related-urls&gt;&lt;/urls&gt;&lt;electronic-resource-num&gt;http://dx.doi.org/10.1016/j.jpsychores.2008.05.007&lt;/electronic-resource-num&gt;&lt;/record&gt;&lt;/Cite&gt;&lt;/EndNote&gt;</w:instrText>
      </w:r>
      <w:r w:rsidR="00390DAE">
        <w:fldChar w:fldCharType="separate"/>
      </w:r>
      <w:r w:rsidR="00390DAE">
        <w:rPr>
          <w:noProof/>
        </w:rPr>
        <w:t>(</w:t>
      </w:r>
      <w:hyperlink w:anchor="_ENREF_9" w:tooltip="De Raeve, 2009 #1655" w:history="1">
        <w:r w:rsidR="003242B5">
          <w:rPr>
            <w:noProof/>
          </w:rPr>
          <w:t>2009</w:t>
        </w:r>
      </w:hyperlink>
      <w:r w:rsidR="00390DAE">
        <w:rPr>
          <w:noProof/>
        </w:rPr>
        <w:t>)</w:t>
      </w:r>
      <w:r w:rsidR="00390DAE">
        <w:fldChar w:fldCharType="end"/>
      </w:r>
      <w:r w:rsidR="00B46C3D" w:rsidRPr="00B46C3D">
        <w:t xml:space="preserve"> found people were more likely to change jobs after </w:t>
      </w:r>
      <w:r w:rsidR="00B46C3D" w:rsidRPr="00B46C3D">
        <w:lastRenderedPageBreak/>
        <w:t>becoming psychological</w:t>
      </w:r>
      <w:r w:rsidR="00B46C3D">
        <w:t>ly</w:t>
      </w:r>
      <w:r w:rsidR="00B46C3D" w:rsidRPr="00B46C3D">
        <w:t xml:space="preserve"> distressed; Gignac </w:t>
      </w:r>
      <w:r w:rsidR="00390DAE">
        <w:fldChar w:fldCharType="begin"/>
      </w:r>
      <w:r w:rsidR="00390DAE">
        <w:instrText xml:space="preserve"> ADDIN EN.CITE &lt;EndNote&gt;&lt;Cite ExcludeAuth="1"&gt;&lt;Author&gt;Gignac&lt;/Author&gt;&lt;Year&gt;2008&lt;/Year&gt;&lt;RecNum&gt;1656&lt;/RecNum&gt;&lt;DisplayText&gt;(2008)&lt;/DisplayText&gt;&lt;record&gt;&lt;rec-number&gt;1656&lt;/rec-number&gt;&lt;foreign-keys&gt;&lt;key app="EN" db-id="0r2ffr5x6st05beff5rper2ax9sw5d9w0vzp" timestamp="0"&gt;1656&lt;/key&gt;&lt;/foreign-keys&gt;&lt;ref-type name="Journal Article"&gt;17&lt;/ref-type&gt;&lt;contributors&gt;&lt;authors&gt;&lt;author&gt;Gignac,Monique A. M. &lt;/author&gt;&lt;author&gt;Xingshan Cao&lt;/author&gt;&lt;author&gt;Diane Lacaille&lt;/author&gt;&lt;author&gt;Anis,Aslam H. &lt;/author&gt;&lt;author&gt;Badley, Elizabeth M&lt;/author&gt;&lt;/authors&gt;&lt;/contributors&gt;&lt;titles&gt;&lt;title&gt;Arthritis-related work transitions: A prospective analysis of reported productivity losses, work changes, and leaving the labor force&lt;/title&gt;&lt;secondary-title&gt;Arthritis Care &amp;amp; Research&lt;/secondary-title&gt;&lt;/titles&gt;&lt;periodical&gt;&lt;full-title&gt;Arthritis Care &amp;amp; Research&lt;/full-title&gt;&lt;/periodical&gt;&lt;pages&gt;1805-1813&lt;/pages&gt;&lt;volume&gt;59&lt;/volume&gt;&lt;number&gt;12&lt;/number&gt;&lt;dates&gt;&lt;year&gt;2008&lt;/year&gt;&lt;/dates&gt;&lt;urls&gt;&lt;/urls&gt;&lt;electronic-resource-num&gt;10.1002/art.24085&lt;/electronic-resource-num&gt;&lt;/record&gt;&lt;/Cite&gt;&lt;/EndNote&gt;</w:instrText>
      </w:r>
      <w:r w:rsidR="00390DAE">
        <w:fldChar w:fldCharType="separate"/>
      </w:r>
      <w:r w:rsidR="00390DAE">
        <w:rPr>
          <w:noProof/>
        </w:rPr>
        <w:t>(</w:t>
      </w:r>
      <w:hyperlink w:anchor="_ENREF_11" w:tooltip="Gignac, 2008 #1656" w:history="1">
        <w:r w:rsidR="003242B5">
          <w:rPr>
            <w:noProof/>
          </w:rPr>
          <w:t>2008</w:t>
        </w:r>
      </w:hyperlink>
      <w:r w:rsidR="00390DAE">
        <w:rPr>
          <w:noProof/>
        </w:rPr>
        <w:t>)</w:t>
      </w:r>
      <w:r w:rsidR="00390DAE">
        <w:fldChar w:fldCharType="end"/>
      </w:r>
      <w:r w:rsidR="00B46C3D" w:rsidRPr="00B46C3D">
        <w:t xml:space="preserve"> found that 21% of people with arthritis changed jobs; and Jones </w:t>
      </w:r>
      <w:r w:rsidR="00390DAE">
        <w:fldChar w:fldCharType="begin"/>
      </w:r>
      <w:r w:rsidR="00390DAE">
        <w:instrText xml:space="preserve"> ADDIN EN.CITE &lt;EndNote&gt;&lt;Cite ExcludeAuth="1"&gt;&lt;Author&gt;Jones&lt;/Author&gt;&lt;Year&gt;2011&lt;/Year&gt;&lt;RecNum&gt;1701&lt;/RecNum&gt;&lt;DisplayText&gt;(2011)&lt;/DisplayText&gt;&lt;record&gt;&lt;rec-number&gt;1701&lt;/rec-number&gt;&lt;foreign-keys&gt;&lt;key app="EN" db-id="0r2ffr5x6st05beff5rper2ax9sw5d9w0vzp" timestamp="1350318349"&gt;1701&lt;/key&gt;&lt;/foreign-keys&gt;&lt;ref-type name="Journal Article"&gt;17&lt;/ref-type&gt;&lt;contributors&gt;&lt;authors&gt;&lt;author&gt;Jones, M. K.&lt;/author&gt;&lt;author&gt;Latreille, P&lt;/author&gt;&lt;/authors&gt;&lt;/contributors&gt;&lt;titles&gt;&lt;title&gt;Disability and Self-Employment: Evidence from the UK LFS&lt;/title&gt;&lt;secondary-title&gt;Applied Economics&lt;/secondary-title&gt;&lt;/titles&gt;&lt;periodical&gt;&lt;full-title&gt;Applied Economics&lt;/full-title&gt;&lt;/periodical&gt;&lt;pages&gt;4161-4178&lt;/pages&gt;&lt;volume&gt;43&lt;/volume&gt;&lt;number&gt;27&lt;/number&gt;&lt;dates&gt;&lt;year&gt;2011&lt;/year&gt;&lt;/dates&gt;&lt;urls&gt;&lt;/urls&gt;&lt;/record&gt;&lt;/Cite&gt;&lt;/EndNote&gt;</w:instrText>
      </w:r>
      <w:r w:rsidR="00390DAE">
        <w:fldChar w:fldCharType="separate"/>
      </w:r>
      <w:r w:rsidR="00390DAE">
        <w:rPr>
          <w:noProof/>
        </w:rPr>
        <w:t>(</w:t>
      </w:r>
      <w:hyperlink w:anchor="_ENREF_19" w:tooltip="Jones, 2011 #1701" w:history="1">
        <w:r w:rsidR="003242B5">
          <w:rPr>
            <w:noProof/>
          </w:rPr>
          <w:t>2011</w:t>
        </w:r>
      </w:hyperlink>
      <w:r w:rsidR="00390DAE">
        <w:rPr>
          <w:noProof/>
        </w:rPr>
        <w:t>)</w:t>
      </w:r>
      <w:r w:rsidR="00390DAE">
        <w:fldChar w:fldCharType="end"/>
      </w:r>
      <w:r w:rsidR="00B46C3D" w:rsidRPr="00B46C3D">
        <w:t xml:space="preserve"> found that disabled people were more likely to become self-employed</w:t>
      </w:r>
      <w:r w:rsidR="00B46C3D">
        <w:t xml:space="preserve"> – but otherwise </w:t>
      </w:r>
      <w:r w:rsidR="00B46C3D" w:rsidRPr="00B46C3D">
        <w:t xml:space="preserve">there are </w:t>
      </w:r>
      <w:r w:rsidR="00B46C3D">
        <w:t xml:space="preserve">surprisingly </w:t>
      </w:r>
      <w:r w:rsidR="00B46C3D" w:rsidRPr="00B46C3D">
        <w:t xml:space="preserve">few studies focused on occupational change as a response to </w:t>
      </w:r>
      <w:r w:rsidR="00A529C0">
        <w:t>impairments</w:t>
      </w:r>
      <w:r w:rsidR="00B46C3D">
        <w:t xml:space="preserve">.  </w:t>
      </w:r>
      <w:r w:rsidR="00746C92">
        <w:t xml:space="preserve">Moreover, </w:t>
      </w:r>
      <w:r w:rsidR="00C858C0">
        <w:t xml:space="preserve">while we know that </w:t>
      </w:r>
      <w:r w:rsidR="00746C92">
        <w:t>highly-educated disabled people suffer a pay penalty</w:t>
      </w:r>
      <w:r w:rsidR="00C858C0">
        <w:t xml:space="preserve"> compared to non-disabled people </w:t>
      </w:r>
      <w:r w:rsidR="003242B5">
        <w:fldChar w:fldCharType="begin"/>
      </w:r>
      <w:r w:rsidR="003242B5">
        <w:instrText xml:space="preserve"> ADDIN EN.CITE &lt;EndNote&gt;&lt;Cite&gt;&lt;Author&gt;Longhi&lt;/Author&gt;&lt;Year&gt;2009&lt;/Year&gt;&lt;RecNum&gt;1584&lt;/RecNum&gt;&lt;DisplayText&gt;(Longhi et al. 2009)&lt;/DisplayText&gt;&lt;record&gt;&lt;rec-number&gt;1584&lt;/rec-number&gt;&lt;foreign-keys&gt;&lt;key app="EN" db-id="0r2ffr5x6st05beff5rper2ax9sw5d9w0vzp" timestamp="1308067441"&gt;1584&lt;/key&gt;&lt;/foreign-keys&gt;&lt;ref-type name="Report"&gt;27&lt;/ref-type&gt;&lt;contributors&gt;&lt;authors&gt;&lt;author&gt;Longhi, S&lt;/author&gt;&lt;author&gt;Nicoletti,C&lt;/author&gt;&lt;author&gt;Platt, Lucinda&lt;/author&gt;&lt;/authors&gt;&lt;/contributors&gt;&lt;titles&gt;&lt;title&gt;Decomposing wage gaps across the pay distribution: Investigating inequalities of ethno-religious groups and disabled people&lt;/title&gt;&lt;secondary-title&gt;ISER working paper No. 2009-3&lt;/secondary-title&gt;&lt;/titles&gt;&lt;dates&gt;&lt;year&gt;2009&lt;/year&gt;&lt;/dates&gt;&lt;pub-location&gt;Essex&lt;/pub-location&gt;&lt;publisher&gt;ISER, University of Essex&lt;/publisher&gt;&lt;urls&gt;&lt;related-urls&gt;&lt;url&gt;http://www.equalities.gov.uk/pdf/Decomposing%20wage%20gaps%20across%20the%20pay%20distribution.pdf&lt;/url&gt;&lt;/related-urls&gt;&lt;/urls&gt;&lt;/record&gt;&lt;/Cite&gt;&lt;/EndNote&gt;</w:instrText>
      </w:r>
      <w:r w:rsidR="003242B5">
        <w:fldChar w:fldCharType="separate"/>
      </w:r>
      <w:r w:rsidR="003242B5">
        <w:rPr>
          <w:noProof/>
        </w:rPr>
        <w:t>(</w:t>
      </w:r>
      <w:hyperlink w:anchor="_ENREF_25" w:tooltip="Longhi, 2009 #1584" w:history="1">
        <w:r w:rsidR="003242B5">
          <w:rPr>
            <w:noProof/>
          </w:rPr>
          <w:t>Longhi et al. 2009</w:t>
        </w:r>
      </w:hyperlink>
      <w:r w:rsidR="003242B5">
        <w:rPr>
          <w:noProof/>
        </w:rPr>
        <w:t>)</w:t>
      </w:r>
      <w:r w:rsidR="003242B5">
        <w:fldChar w:fldCharType="end"/>
      </w:r>
      <w:r w:rsidR="00746C92">
        <w:t xml:space="preserve">, it is </w:t>
      </w:r>
      <w:r w:rsidR="00C858C0">
        <w:t xml:space="preserve">unclear if this </w:t>
      </w:r>
      <w:r w:rsidR="00CD21BB">
        <w:t xml:space="preserve">penalty </w:t>
      </w:r>
      <w:r w:rsidR="00C858C0">
        <w:t xml:space="preserve">extends to other factors such as adjustment latitude. </w:t>
      </w:r>
      <w:r w:rsidR="00B46C3D">
        <w:t xml:space="preserve">Further research </w:t>
      </w:r>
      <w:r w:rsidR="00A529C0">
        <w:t>is necessary</w:t>
      </w:r>
      <w:r w:rsidR="00B46C3D">
        <w:t xml:space="preserve">, including quantitative research that looks </w:t>
      </w:r>
      <w:r w:rsidR="00134826">
        <w:t xml:space="preserve">directly </w:t>
      </w:r>
      <w:r w:rsidR="00B46C3D">
        <w:t>at the respective prevalence of job flexibility, adjustments and occupational change among people with impairments</w:t>
      </w:r>
      <w:r w:rsidR="00A529C0">
        <w:t>, and how this varies across people</w:t>
      </w:r>
      <w:r w:rsidR="00B46C3D">
        <w:t xml:space="preserve"> of different educational levels</w:t>
      </w:r>
      <w:r w:rsidR="002873D3">
        <w:t xml:space="preserve"> in different local labour markets</w:t>
      </w:r>
      <w:r w:rsidR="00B46C3D">
        <w:t xml:space="preserve">.  </w:t>
      </w:r>
    </w:p>
    <w:p w14:paraId="20806FA6" w14:textId="4A01E715" w:rsidR="00F159ED" w:rsidRDefault="00F159ED" w:rsidP="00947E73">
      <w:pPr>
        <w:spacing w:line="480" w:lineRule="auto"/>
      </w:pPr>
      <w:r>
        <w:t xml:space="preserve">The findings also directly relate to debates around how we should assess incapacity within the benefits system.  If incapacity by definition depends on labour market disadvantage as well as impairment, then there is a strong case for considering such factors when assessing incapacity.  This has been done in e.g. Sweden up until the late 1990s </w:t>
      </w:r>
      <w:r w:rsidR="00390DAE">
        <w:fldChar w:fldCharType="begin"/>
      </w:r>
      <w:r w:rsidR="00390DAE">
        <w:instrText xml:space="preserve"> ADDIN EN.CITE &lt;EndNote&gt;&lt;Cite&gt;&lt;Author&gt;Kemp&lt;/Author&gt;&lt;Year&gt;2006&lt;/Year&gt;&lt;RecNum&gt;710&lt;/RecNum&gt;&lt;DisplayText&gt;(Kemp et al. 2006)&lt;/DisplayText&gt;&lt;record&gt;&lt;rec-number&gt;710&lt;/rec-number&gt;&lt;foreign-keys&gt;&lt;key app="EN" db-id="0r2ffr5x6st05beff5rper2ax9sw5d9w0vzp" timestamp="0"&gt;710&lt;/key&gt;&lt;/foreign-keys&gt;&lt;ref-type name="Edited Book"&gt;28&lt;/ref-type&gt;&lt;contributors&gt;&lt;authors&gt;&lt;author&gt;Kemp, Peter A&lt;/author&gt;&lt;author&gt;Sunden,A&lt;/author&gt;&lt;author&gt;Tauritz,BB&lt;/author&gt;&lt;/authors&gt;&lt;/contributors&gt;&lt;titles&gt;&lt;title&gt;Sick societies? Trends in disability benefits in post-industrial welfare states&lt;/title&gt;&lt;/titles&gt;&lt;dates&gt;&lt;year&gt;2006&lt;/year&gt;&lt;/dates&gt;&lt;pub-location&gt;Geneva&lt;/pub-location&gt;&lt;publisher&gt;International Social Security Association&lt;/publisher&gt;&lt;call-num&gt;Not in LSE library, need on ILL&lt;/call-num&gt;&lt;urls&gt;&lt;/urls&gt;&lt;custom1&gt;Read(from Tania)&lt;/custom1&gt;&lt;/record&gt;&lt;/Cite&gt;&lt;/EndNote&gt;</w:instrText>
      </w:r>
      <w:r w:rsidR="00390DAE">
        <w:fldChar w:fldCharType="separate"/>
      </w:r>
      <w:r w:rsidR="00390DAE">
        <w:rPr>
          <w:noProof/>
        </w:rPr>
        <w:t>(</w:t>
      </w:r>
      <w:hyperlink w:anchor="_ENREF_22" w:tooltip="Kemp, 2006 #710" w:history="1">
        <w:r w:rsidR="003242B5">
          <w:rPr>
            <w:noProof/>
          </w:rPr>
          <w:t>Kemp et al. 2006</w:t>
        </w:r>
      </w:hyperlink>
      <w:r w:rsidR="00390DAE">
        <w:rPr>
          <w:noProof/>
        </w:rPr>
        <w:t>)</w:t>
      </w:r>
      <w:r w:rsidR="00390DAE">
        <w:fldChar w:fldCharType="end"/>
      </w:r>
      <w:r>
        <w:t xml:space="preserve"> and there have been calls to introduce such a ‘real-world’ assessment in the UK </w:t>
      </w:r>
      <w:r w:rsidR="00390DAE">
        <w:fldChar w:fldCharType="begin"/>
      </w:r>
      <w:r w:rsidR="00390DAE">
        <w:instrText xml:space="preserve"> ADDIN EN.CITE &lt;EndNote&gt;&lt;Cite&gt;&lt;Author&gt;Citizens Advice Bureau&lt;/Author&gt;&lt;Year&gt;2010&lt;/Year&gt;&lt;RecNum&gt;1443&lt;/RecNum&gt;&lt;DisplayText&gt;(Citizens Advice Bureau 2010)&lt;/DisplayText&gt;&lt;record&gt;&lt;rec-number&gt;1443&lt;/rec-number&gt;&lt;foreign-keys&gt;&lt;key app="EN" db-id="0r2ffr5x6st05beff5rper2ax9sw5d9w0vzp" timestamp="0"&gt;1443&lt;/key&gt;&lt;/foreign-keys&gt;&lt;ref-type name="Report"&gt;27&lt;/ref-type&gt;&lt;contributors&gt;&lt;authors&gt;&lt;author&gt;Citizens Advice Bureau,&lt;/author&gt;&lt;/authors&gt;&lt;/contributors&gt;&lt;titles&gt;&lt;title&gt;Not working: CAB evidence on the ESA work capability assessment&lt;/title&gt;&lt;/titles&gt;&lt;dates&gt;&lt;year&gt;2010&lt;/year&gt;&lt;/dates&gt;&lt;urls&gt;&lt;related-urls&gt;&lt;url&gt;http://www.citizensadvice.org.uk/not_working [accessed 18/4/2011]&lt;/url&gt;&lt;/related-urls&gt;&lt;/urls&gt;&lt;/record&gt;&lt;/Cite&gt;&lt;/EndNote&gt;</w:instrText>
      </w:r>
      <w:r w:rsidR="00390DAE">
        <w:fldChar w:fldCharType="separate"/>
      </w:r>
      <w:r w:rsidR="00390DAE">
        <w:rPr>
          <w:noProof/>
        </w:rPr>
        <w:t>(</w:t>
      </w:r>
      <w:hyperlink w:anchor="_ENREF_8" w:tooltip="Citizens Advice Bureau, 2010 #1443" w:history="1">
        <w:r w:rsidR="003242B5">
          <w:rPr>
            <w:noProof/>
          </w:rPr>
          <w:t>Citizens Advice Bureau 2010</w:t>
        </w:r>
      </w:hyperlink>
      <w:r w:rsidR="00390DAE">
        <w:rPr>
          <w:noProof/>
        </w:rPr>
        <w:t>)</w:t>
      </w:r>
      <w:r w:rsidR="00390DAE">
        <w:fldChar w:fldCharType="end"/>
      </w:r>
      <w:r w:rsidR="00A529C0">
        <w:t>.  However,</w:t>
      </w:r>
      <w:r>
        <w:t xml:space="preserve"> the Government’s independent reviewer of the incapacity assessment </w:t>
      </w:r>
      <w:r w:rsidR="00A529C0">
        <w:t xml:space="preserve">recently </w:t>
      </w:r>
      <w:r>
        <w:t xml:space="preserve">dismissed this policy because we “lacked the necessary detail and evidence base” </w:t>
      </w:r>
      <w:r w:rsidR="00390DAE">
        <w:fldChar w:fldCharType="begin"/>
      </w:r>
      <w:r w:rsidR="00390DAE">
        <w:instrText xml:space="preserve"> ADDIN EN.CITE &lt;EndNote&gt;&lt;Cite&gt;&lt;Author&gt;Harrington&lt;/Author&gt;&lt;Year&gt;2011&lt;/Year&gt;&lt;RecNum&gt;1693&lt;/RecNum&gt;&lt;Suffix&gt;:37&lt;/Suffix&gt;&lt;DisplayText&gt;(Harrington 2011:37)&lt;/DisplayText&gt;&lt;record&gt;&lt;rec-number&gt;1693&lt;/rec-number&gt;&lt;foreign-keys&gt;&lt;key app="EN" db-id="0r2ffr5x6st05beff5rper2ax9sw5d9w0vzp" timestamp="1308572140"&gt;1693&lt;/key&gt;&lt;/foreign-keys&gt;&lt;ref-type name="Report"&gt;27&lt;/ref-type&gt;&lt;contributors&gt;&lt;authors&gt;&lt;author&gt;Malcolm Harrington&lt;/author&gt;&lt;/authors&gt;&lt;/contributors&gt;&lt;titles&gt;&lt;title&gt;An Independent Review of the Work Capability Assessment - Year two&lt;/title&gt;&lt;/titles&gt;&lt;dates&gt;&lt;year&gt;2011&lt;/year&gt;&lt;/dates&gt;&lt;pub-location&gt;London&lt;/pub-location&gt;&lt;publisher&gt;The Stationery Office for the Department of Work and Pensions (DWP)&lt;/publisher&gt;&lt;urls&gt;&lt;related-urls&gt;&lt;url&gt;http://www.dwp.gov.uk/policy/welfare-reform/employment-and-support/wca-independent-review/&lt;/url&gt;&lt;/related-urls&gt;&lt;/urls&gt;&lt;/record&gt;&lt;/Cite&gt;&lt;/EndNote&gt;</w:instrText>
      </w:r>
      <w:r w:rsidR="00390DAE">
        <w:fldChar w:fldCharType="separate"/>
      </w:r>
      <w:r w:rsidR="00390DAE">
        <w:rPr>
          <w:noProof/>
        </w:rPr>
        <w:t>(</w:t>
      </w:r>
      <w:hyperlink w:anchor="_ENREF_14" w:tooltip="Harrington, 2011 #1693" w:history="1">
        <w:r w:rsidR="003242B5">
          <w:rPr>
            <w:noProof/>
          </w:rPr>
          <w:t>Harrington 2011:37</w:t>
        </w:r>
      </w:hyperlink>
      <w:r w:rsidR="00390DAE">
        <w:rPr>
          <w:noProof/>
        </w:rPr>
        <w:t>)</w:t>
      </w:r>
      <w:r w:rsidR="00390DAE">
        <w:fldChar w:fldCharType="end"/>
      </w:r>
      <w:r>
        <w:t xml:space="preserve">. Furthermore, while space precludes a full discussion </w:t>
      </w:r>
      <w:r w:rsidR="00390DAE">
        <w:fldChar w:fldCharType="begin"/>
      </w:r>
      <w:r w:rsidR="00390DAE">
        <w:instrText xml:space="preserve"> ADDIN EN.CITE &lt;EndNote&gt;&lt;Cite&gt;&lt;Author&gt;Baumberg&lt;/Author&gt;&lt;Year&gt;2011&lt;/Year&gt;&lt;RecNum&gt;1659&lt;/RecNum&gt;&lt;Prefix&gt;see &lt;/Prefix&gt;&lt;DisplayText&gt;(see Baumberg 2011, Baumberg 2014)&lt;/DisplayText&gt;&lt;record&gt;&lt;rec-number&gt;1659&lt;/rec-number&gt;&lt;foreign-keys&gt;&lt;key app="EN" db-id="0r2ffr5x6st05beff5rper2ax9sw5d9w0vzp" timestamp="0"&gt;1659&lt;/key&gt;&lt;/foreign-keys&gt;&lt;ref-type name="Thesis"&gt;32&lt;/ref-type&gt;&lt;contributors&gt;&lt;authors&gt;&lt;author&gt;Baumberg, B.&lt;/author&gt;&lt;/authors&gt;&lt;/contributors&gt;&lt;titles&gt;&lt;title&gt;The role of increasing job strain in deteriorating fitness-for-work and rising incapacity benefit receipt&lt;/title&gt;&lt;/titles&gt;&lt;dates&gt;&lt;year&gt;2011&lt;/year&gt;&lt;/dates&gt;&lt;publisher&gt;PhD thesis, The London School of Economics and Political Science (LSE)&lt;/publisher&gt;&lt;urls&gt;&lt;related-urls&gt;&lt;url&gt;http://etheses.lse.ac.uk/192/&lt;/url&gt;&lt;/related-urls&gt;&lt;/urls&gt;&lt;/record&gt;&lt;/Cite&gt;&lt;Cite&gt;&lt;Author&gt;Baumberg&lt;/Author&gt;&lt;Year&gt;2014&lt;/Year&gt;&lt;RecNum&gt;1723&lt;/RecNum&gt;&lt;record&gt;&lt;rec-number&gt;1723&lt;/rec-number&gt;&lt;foreign-keys&gt;&lt;key app="EN" db-id="0r2ffr5x6st05beff5rper2ax9sw5d9w0vzp" timestamp="1400856378"&gt;1723&lt;/key&gt;&lt;/foreign-keys&gt;&lt;ref-type name="Journal Article"&gt;17&lt;/ref-type&gt;&lt;contributors&gt;&lt;authors&gt;&lt;author&gt;Baumberg, B.&lt;/author&gt;&lt;/authors&gt;&lt;/contributors&gt;&lt;titles&gt;&lt;title&gt;Fit-for-Work – or Work Fit for Disabled People? The Role of Changing Job Demands and Control in Incapacity Claims&lt;/title&gt;&lt;secondary-title&gt;Journal of Social Policy&lt;/secondary-title&gt;&lt;/titles&gt;&lt;periodical&gt;&lt;full-title&gt;Journal of Social Policy&lt;/full-title&gt;&lt;/periodical&gt;&lt;pages&gt;289-310&lt;/pages&gt;&lt;volume&gt;43&lt;/volume&gt;&lt;dates&gt;&lt;year&gt;2014&lt;/year&gt;&lt;/dates&gt;&lt;urls&gt;&lt;/urls&gt;&lt;electronic-resource-num&gt;10.1017/S0047279413000810&lt;/electronic-resource-num&gt;&lt;/record&gt;&lt;/Cite&gt;&lt;/EndNote&gt;</w:instrText>
      </w:r>
      <w:r w:rsidR="00390DAE">
        <w:fldChar w:fldCharType="separate"/>
      </w:r>
      <w:r w:rsidR="00390DAE">
        <w:rPr>
          <w:noProof/>
        </w:rPr>
        <w:t xml:space="preserve">(see </w:t>
      </w:r>
      <w:hyperlink w:anchor="_ENREF_3" w:tooltip="Baumberg, 2011 #1659" w:history="1">
        <w:r w:rsidR="003242B5">
          <w:rPr>
            <w:noProof/>
          </w:rPr>
          <w:t>Baumberg 2011</w:t>
        </w:r>
      </w:hyperlink>
      <w:r w:rsidR="00390DAE">
        <w:rPr>
          <w:noProof/>
        </w:rPr>
        <w:t xml:space="preserve">, </w:t>
      </w:r>
      <w:hyperlink w:anchor="_ENREF_4" w:tooltip="Baumberg, 2014 #1723" w:history="1">
        <w:r w:rsidR="003242B5">
          <w:rPr>
            <w:noProof/>
          </w:rPr>
          <w:t>Baumberg 2014</w:t>
        </w:r>
      </w:hyperlink>
      <w:r w:rsidR="00390DAE">
        <w:rPr>
          <w:noProof/>
        </w:rPr>
        <w:t>)</w:t>
      </w:r>
      <w:r w:rsidR="00390DAE">
        <w:fldChar w:fldCharType="end"/>
      </w:r>
      <w:r>
        <w:t>, it may be possible to reduce incapacity by both better-matching people with impairments to suitable jobs, and by making workplaces generally less disabling.</w:t>
      </w:r>
      <w:r w:rsidR="00B46C3D">
        <w:t xml:space="preserve">  </w:t>
      </w:r>
    </w:p>
    <w:p w14:paraId="3BBF8A32" w14:textId="62ADCD7C" w:rsidR="00B46C3D" w:rsidRDefault="00B46C3D" w:rsidP="00947E73">
      <w:pPr>
        <w:spacing w:line="480" w:lineRule="auto"/>
      </w:pPr>
      <w:r>
        <w:t xml:space="preserve">If further study </w:t>
      </w:r>
      <w:r w:rsidR="00A529C0">
        <w:t xml:space="preserve">confirms and extends </w:t>
      </w:r>
      <w:r>
        <w:t xml:space="preserve">the findings here, then there is therefore the possibility of creating a fairer system of incapacity assessment, and </w:t>
      </w:r>
      <w:r w:rsidR="00A529C0">
        <w:t xml:space="preserve">of reducing </w:t>
      </w:r>
      <w:r>
        <w:t xml:space="preserve">the rate of incapacity </w:t>
      </w:r>
      <w:r w:rsidRPr="00A529C0">
        <w:rPr>
          <w:i/>
        </w:rPr>
        <w:t>per se</w:t>
      </w:r>
      <w:r>
        <w:t>.  On these grounds, inequalities in responses to impairments would seem worth exploring in future research.</w:t>
      </w:r>
    </w:p>
    <w:p w14:paraId="187BF66F" w14:textId="77777777" w:rsidR="00DE16FC" w:rsidRDefault="00DE16FC" w:rsidP="00947E73">
      <w:pPr>
        <w:spacing w:line="480" w:lineRule="auto"/>
      </w:pPr>
    </w:p>
    <w:p w14:paraId="66A9BA18" w14:textId="77777777" w:rsidR="00DE16FC" w:rsidRDefault="00DE16FC" w:rsidP="00947E73">
      <w:pPr>
        <w:spacing w:line="480" w:lineRule="auto"/>
        <w:sectPr w:rsidR="00DE16FC" w:rsidSect="0062202D">
          <w:type w:val="continuous"/>
          <w:pgSz w:w="11906" w:h="16838"/>
          <w:pgMar w:top="1440" w:right="1440" w:bottom="1440" w:left="1440" w:header="708" w:footer="708" w:gutter="0"/>
          <w:cols w:space="708"/>
          <w:docGrid w:linePitch="360"/>
        </w:sectPr>
      </w:pPr>
    </w:p>
    <w:p w14:paraId="22EE1FC4" w14:textId="38A5FFB9" w:rsidR="00892002" w:rsidRDefault="00892002" w:rsidP="00947E73">
      <w:pPr>
        <w:pStyle w:val="Heading1"/>
        <w:spacing w:line="480" w:lineRule="auto"/>
      </w:pPr>
      <w:r>
        <w:lastRenderedPageBreak/>
        <w:t>Notes</w:t>
      </w:r>
    </w:p>
    <w:p w14:paraId="6AFCE320" w14:textId="362553BE" w:rsidR="00390DAE" w:rsidRDefault="00390DAE" w:rsidP="00947E73">
      <w:pPr>
        <w:spacing w:line="480" w:lineRule="auto"/>
      </w:pPr>
      <w:r>
        <w:t xml:space="preserve">Thanks to </w:t>
      </w:r>
      <w:r w:rsidR="00097A6E">
        <w:t xml:space="preserve">two anonymous reviewers, </w:t>
      </w:r>
      <w:r>
        <w:t xml:space="preserve">Annie Irvine (and others at SPRU) and John Hills (and others at CASE) for </w:t>
      </w:r>
      <w:r w:rsidR="003242B5">
        <w:t xml:space="preserve">their help </w:t>
      </w:r>
      <w:r>
        <w:t>–</w:t>
      </w:r>
      <w:r w:rsidR="003242B5">
        <w:t xml:space="preserve"> </w:t>
      </w:r>
      <w:r>
        <w:t xml:space="preserve">which </w:t>
      </w:r>
      <w:r w:rsidR="003242B5">
        <w:t xml:space="preserve">does not </w:t>
      </w:r>
      <w:r>
        <w:t xml:space="preserve">indicate their agreement with the views </w:t>
      </w:r>
      <w:r w:rsidR="003242B5">
        <w:t>here</w:t>
      </w:r>
      <w:r>
        <w:t xml:space="preserve">.  Thanks too to the Welfare-to-Work provider and GP surgeries who facilitated this study, and </w:t>
      </w:r>
      <w:r w:rsidR="003242B5">
        <w:t xml:space="preserve">especially </w:t>
      </w:r>
      <w:r>
        <w:t>to the people that spoke to me about their lives.</w:t>
      </w:r>
    </w:p>
    <w:p w14:paraId="0F02D42D" w14:textId="22AF34B4" w:rsidR="00390DAE" w:rsidRDefault="00390DAE" w:rsidP="00947E73">
      <w:pPr>
        <w:pStyle w:val="ListParagraph"/>
        <w:numPr>
          <w:ilvl w:val="0"/>
          <w:numId w:val="21"/>
        </w:numPr>
        <w:spacing w:line="480" w:lineRule="auto"/>
      </w:pPr>
      <w:r>
        <w:t xml:space="preserve">LFS figures for 2013 </w:t>
      </w:r>
      <w:hyperlink r:id="rId12" w:history="1">
        <w:r w:rsidRPr="005253CA">
          <w:rPr>
            <w:rStyle w:val="Hyperlink"/>
          </w:rPr>
          <w:t>http://epp.eurostat.ec.europa.eu/portal/page/portal/statistics/search_database</w:t>
        </w:r>
      </w:hyperlink>
      <w:r>
        <w:t xml:space="preserve"> [accessed 23/5/2014]</w:t>
      </w:r>
    </w:p>
    <w:p w14:paraId="37FFDCC2" w14:textId="597B535F" w:rsidR="00390DAE" w:rsidRDefault="00390DAE" w:rsidP="00947E73">
      <w:pPr>
        <w:pStyle w:val="ListParagraph"/>
        <w:numPr>
          <w:ilvl w:val="0"/>
          <w:numId w:val="21"/>
        </w:numPr>
        <w:spacing w:line="480" w:lineRule="auto"/>
      </w:pPr>
      <w:r w:rsidRPr="00390DAE">
        <w:t xml:space="preserve">‘Impairment’ here refers to an inability to perform specific tasks, while ‘disability’ refers to the inability to perform a given social role. This follows analogous distinctions in e.g. the WHO </w:t>
      </w:r>
      <w:r w:rsidRPr="00390DAE">
        <w:rPr>
          <w:i/>
        </w:rPr>
        <w:t>International Classification of Functioning, Disability and Health</w:t>
      </w:r>
      <w:r w:rsidRPr="00390DAE">
        <w:t>.</w:t>
      </w:r>
    </w:p>
    <w:p w14:paraId="26A2B26C" w14:textId="28AAE7CC" w:rsidR="00390DAE" w:rsidRDefault="00390DAE" w:rsidP="00947E73">
      <w:pPr>
        <w:pStyle w:val="ListParagraph"/>
        <w:numPr>
          <w:ilvl w:val="0"/>
          <w:numId w:val="21"/>
        </w:numPr>
        <w:spacing w:line="480" w:lineRule="auto"/>
      </w:pPr>
      <w:r w:rsidRPr="00390DAE">
        <w:t xml:space="preserve">After analysing 24 transcripts it became clear that saturation was being reached for some types of claimant; 8 </w:t>
      </w:r>
      <w:r>
        <w:t xml:space="preserve">further </w:t>
      </w:r>
      <w:r w:rsidRPr="00390DAE">
        <w:t xml:space="preserve">interviews were therefore purposively selected for analysis.  </w:t>
      </w:r>
    </w:p>
    <w:p w14:paraId="18550649" w14:textId="502936D6" w:rsidR="00042F7F" w:rsidRDefault="00E87C2C" w:rsidP="00947E73">
      <w:pPr>
        <w:pStyle w:val="Heading1"/>
        <w:spacing w:line="480" w:lineRule="auto"/>
      </w:pPr>
      <w:r>
        <w:t>Table</w:t>
      </w:r>
      <w:r w:rsidR="00711D09">
        <w:t>s</w:t>
      </w:r>
    </w:p>
    <w:p w14:paraId="4EF737A3" w14:textId="2A5099BC" w:rsidR="00E87C2C" w:rsidRPr="00E87C2C" w:rsidRDefault="00E87C2C" w:rsidP="00947E73">
      <w:pPr>
        <w:spacing w:line="240" w:lineRule="auto"/>
        <w:rPr>
          <w:b/>
        </w:rPr>
      </w:pPr>
      <w:bookmarkStart w:id="1" w:name="_Ref290733364"/>
      <w:bookmarkStart w:id="2" w:name="_Toc311561020"/>
      <w:r w:rsidRPr="00E87C2C">
        <w:rPr>
          <w:b/>
        </w:rPr>
        <w:t xml:space="preserve">Table </w:t>
      </w:r>
      <w:r w:rsidR="00D42990">
        <w:rPr>
          <w:b/>
        </w:rPr>
        <w:t>1</w:t>
      </w:r>
      <w:bookmarkEnd w:id="1"/>
      <w:r w:rsidRPr="00E87C2C">
        <w:rPr>
          <w:b/>
        </w:rPr>
        <w:t xml:space="preserve">: Properties of the </w:t>
      </w:r>
      <w:r>
        <w:rPr>
          <w:b/>
        </w:rPr>
        <w:t xml:space="preserve">main </w:t>
      </w:r>
      <w:r w:rsidRPr="00E87C2C">
        <w:rPr>
          <w:b/>
        </w:rPr>
        <w:t>sample</w:t>
      </w:r>
      <w:bookmarkEnd w:id="2"/>
    </w:p>
    <w:tbl>
      <w:tblPr>
        <w:tblStyle w:val="MediumList11"/>
        <w:tblW w:w="0" w:type="auto"/>
        <w:tblBorders>
          <w:top w:val="none" w:sz="0" w:space="0" w:color="auto"/>
          <w:bottom w:val="none" w:sz="0" w:space="0" w:color="auto"/>
        </w:tblBorders>
        <w:tblLook w:val="0600" w:firstRow="0" w:lastRow="0" w:firstColumn="0" w:lastColumn="0" w:noHBand="1" w:noVBand="1"/>
      </w:tblPr>
      <w:tblGrid>
        <w:gridCol w:w="3510"/>
        <w:gridCol w:w="1110"/>
        <w:gridCol w:w="3568"/>
        <w:gridCol w:w="1054"/>
      </w:tblGrid>
      <w:tr w:rsidR="00FE2EF8" w:rsidRPr="00E87C2C" w14:paraId="5EC70B26" w14:textId="77777777" w:rsidTr="00390DAE">
        <w:tc>
          <w:tcPr>
            <w:tcW w:w="3510" w:type="dxa"/>
            <w:tcBorders>
              <w:top w:val="single" w:sz="4" w:space="0" w:color="auto"/>
            </w:tcBorders>
          </w:tcPr>
          <w:p w14:paraId="7D1E3F0E" w14:textId="77777777" w:rsidR="00FE2EF8" w:rsidRPr="00E87C2C" w:rsidRDefault="00FE2EF8" w:rsidP="00947E73">
            <w:pPr>
              <w:spacing w:after="0"/>
              <w:jc w:val="right"/>
              <w:rPr>
                <w:rFonts w:asciiTheme="minorHAnsi" w:hAnsiTheme="minorHAnsi"/>
              </w:rPr>
            </w:pPr>
            <w:r w:rsidRPr="00E87C2C">
              <w:rPr>
                <w:rFonts w:asciiTheme="minorHAnsi" w:hAnsiTheme="minorHAnsi"/>
              </w:rPr>
              <w:t>Aged 20s/30s</w:t>
            </w:r>
          </w:p>
        </w:tc>
        <w:tc>
          <w:tcPr>
            <w:tcW w:w="1110" w:type="dxa"/>
            <w:tcBorders>
              <w:top w:val="single" w:sz="4" w:space="0" w:color="auto"/>
            </w:tcBorders>
          </w:tcPr>
          <w:p w14:paraId="0C65E9EF" w14:textId="77777777" w:rsidR="00FE2EF8" w:rsidRPr="00E87C2C" w:rsidRDefault="00FE2EF8" w:rsidP="00947E73">
            <w:pPr>
              <w:spacing w:after="0"/>
              <w:jc w:val="center"/>
              <w:rPr>
                <w:rFonts w:asciiTheme="minorHAnsi" w:hAnsiTheme="minorHAnsi"/>
              </w:rPr>
            </w:pPr>
            <w:r w:rsidRPr="00E87C2C">
              <w:rPr>
                <w:rFonts w:asciiTheme="minorHAnsi" w:hAnsiTheme="minorHAnsi"/>
              </w:rPr>
              <w:t>12</w:t>
            </w:r>
          </w:p>
        </w:tc>
        <w:tc>
          <w:tcPr>
            <w:tcW w:w="3568" w:type="dxa"/>
            <w:tcBorders>
              <w:top w:val="single" w:sz="4" w:space="0" w:color="auto"/>
              <w:left w:val="nil"/>
            </w:tcBorders>
          </w:tcPr>
          <w:p w14:paraId="3CCC3464" w14:textId="77777777" w:rsidR="00FE2EF8" w:rsidRPr="00E87C2C" w:rsidRDefault="00FE2EF8" w:rsidP="00947E73">
            <w:pPr>
              <w:spacing w:after="0"/>
              <w:jc w:val="right"/>
              <w:rPr>
                <w:rFonts w:asciiTheme="minorHAnsi" w:hAnsiTheme="minorHAnsi"/>
              </w:rPr>
            </w:pPr>
            <w:r w:rsidRPr="00E87C2C">
              <w:rPr>
                <w:rFonts w:asciiTheme="minorHAnsi" w:hAnsiTheme="minorHAnsi"/>
              </w:rPr>
              <w:t>Male</w:t>
            </w:r>
          </w:p>
        </w:tc>
        <w:tc>
          <w:tcPr>
            <w:tcW w:w="1054" w:type="dxa"/>
            <w:tcBorders>
              <w:top w:val="single" w:sz="4" w:space="0" w:color="auto"/>
            </w:tcBorders>
          </w:tcPr>
          <w:p w14:paraId="0102AD82" w14:textId="77777777" w:rsidR="00FE2EF8" w:rsidRPr="00E87C2C" w:rsidRDefault="00FE2EF8" w:rsidP="00947E73">
            <w:pPr>
              <w:spacing w:after="0"/>
              <w:jc w:val="center"/>
              <w:rPr>
                <w:rFonts w:asciiTheme="minorHAnsi" w:hAnsiTheme="minorHAnsi"/>
              </w:rPr>
            </w:pPr>
            <w:r w:rsidRPr="00E87C2C">
              <w:rPr>
                <w:rFonts w:asciiTheme="minorHAnsi" w:hAnsiTheme="minorHAnsi"/>
              </w:rPr>
              <w:t>16</w:t>
            </w:r>
          </w:p>
        </w:tc>
      </w:tr>
      <w:tr w:rsidR="00FE2EF8" w:rsidRPr="00E87C2C" w14:paraId="309A3B5E" w14:textId="77777777" w:rsidTr="00390DAE">
        <w:tc>
          <w:tcPr>
            <w:tcW w:w="3510" w:type="dxa"/>
          </w:tcPr>
          <w:p w14:paraId="1503901E" w14:textId="77777777" w:rsidR="00FE2EF8" w:rsidRPr="00E87C2C" w:rsidRDefault="00FE2EF8" w:rsidP="00947E73">
            <w:pPr>
              <w:spacing w:after="0"/>
              <w:jc w:val="right"/>
              <w:rPr>
                <w:rFonts w:asciiTheme="minorHAnsi" w:hAnsiTheme="minorHAnsi"/>
              </w:rPr>
            </w:pPr>
            <w:r w:rsidRPr="00E87C2C">
              <w:rPr>
                <w:rFonts w:asciiTheme="minorHAnsi" w:hAnsiTheme="minorHAnsi"/>
              </w:rPr>
              <w:t>Age 40s</w:t>
            </w:r>
          </w:p>
        </w:tc>
        <w:tc>
          <w:tcPr>
            <w:tcW w:w="1110" w:type="dxa"/>
          </w:tcPr>
          <w:p w14:paraId="44BC8FA3" w14:textId="77777777" w:rsidR="00FE2EF8" w:rsidRPr="00E87C2C" w:rsidRDefault="00FE2EF8" w:rsidP="00947E73">
            <w:pPr>
              <w:spacing w:after="0"/>
              <w:jc w:val="center"/>
              <w:rPr>
                <w:rFonts w:asciiTheme="minorHAnsi" w:hAnsiTheme="minorHAnsi"/>
              </w:rPr>
            </w:pPr>
            <w:r w:rsidRPr="00E87C2C">
              <w:rPr>
                <w:rFonts w:asciiTheme="minorHAnsi" w:hAnsiTheme="minorHAnsi"/>
              </w:rPr>
              <w:t>13</w:t>
            </w:r>
          </w:p>
        </w:tc>
        <w:tc>
          <w:tcPr>
            <w:tcW w:w="3568" w:type="dxa"/>
            <w:tcBorders>
              <w:left w:val="nil"/>
              <w:bottom w:val="single" w:sz="4" w:space="0" w:color="auto"/>
            </w:tcBorders>
          </w:tcPr>
          <w:p w14:paraId="10DF37A9" w14:textId="77777777" w:rsidR="00FE2EF8" w:rsidRPr="00E87C2C" w:rsidRDefault="00FE2EF8" w:rsidP="00947E73">
            <w:pPr>
              <w:spacing w:after="0"/>
              <w:jc w:val="right"/>
              <w:rPr>
                <w:rFonts w:asciiTheme="minorHAnsi" w:hAnsiTheme="minorHAnsi"/>
              </w:rPr>
            </w:pPr>
            <w:r w:rsidRPr="00E87C2C">
              <w:rPr>
                <w:rFonts w:asciiTheme="minorHAnsi" w:hAnsiTheme="minorHAnsi"/>
              </w:rPr>
              <w:t>Female</w:t>
            </w:r>
          </w:p>
        </w:tc>
        <w:tc>
          <w:tcPr>
            <w:tcW w:w="1054" w:type="dxa"/>
            <w:tcBorders>
              <w:bottom w:val="single" w:sz="4" w:space="0" w:color="auto"/>
            </w:tcBorders>
          </w:tcPr>
          <w:p w14:paraId="5E6700E5" w14:textId="77777777" w:rsidR="00FE2EF8" w:rsidRPr="00E87C2C" w:rsidRDefault="00FE2EF8" w:rsidP="00947E73">
            <w:pPr>
              <w:spacing w:after="0"/>
              <w:jc w:val="center"/>
              <w:rPr>
                <w:rFonts w:asciiTheme="minorHAnsi" w:hAnsiTheme="minorHAnsi"/>
              </w:rPr>
            </w:pPr>
            <w:r w:rsidRPr="00E87C2C">
              <w:rPr>
                <w:rFonts w:asciiTheme="minorHAnsi" w:hAnsiTheme="minorHAnsi"/>
              </w:rPr>
              <w:t>16</w:t>
            </w:r>
          </w:p>
        </w:tc>
      </w:tr>
      <w:tr w:rsidR="00FE2EF8" w:rsidRPr="00E87C2C" w14:paraId="023A64C3" w14:textId="77777777" w:rsidTr="00390DAE">
        <w:tc>
          <w:tcPr>
            <w:tcW w:w="3510" w:type="dxa"/>
            <w:tcBorders>
              <w:bottom w:val="single" w:sz="4" w:space="0" w:color="auto"/>
            </w:tcBorders>
          </w:tcPr>
          <w:p w14:paraId="27E44763" w14:textId="77777777" w:rsidR="00FE2EF8" w:rsidRPr="00E87C2C" w:rsidRDefault="00FE2EF8" w:rsidP="00947E73">
            <w:pPr>
              <w:spacing w:after="0"/>
              <w:jc w:val="right"/>
              <w:rPr>
                <w:rFonts w:asciiTheme="minorHAnsi" w:hAnsiTheme="minorHAnsi"/>
              </w:rPr>
            </w:pPr>
            <w:r w:rsidRPr="00E87C2C">
              <w:rPr>
                <w:rFonts w:asciiTheme="minorHAnsi" w:hAnsiTheme="minorHAnsi"/>
              </w:rPr>
              <w:t>Age 50+</w:t>
            </w:r>
          </w:p>
        </w:tc>
        <w:tc>
          <w:tcPr>
            <w:tcW w:w="1110" w:type="dxa"/>
            <w:tcBorders>
              <w:bottom w:val="single" w:sz="4" w:space="0" w:color="auto"/>
            </w:tcBorders>
          </w:tcPr>
          <w:p w14:paraId="7B936A51" w14:textId="77777777" w:rsidR="00FE2EF8" w:rsidRPr="00E87C2C" w:rsidRDefault="00FE2EF8" w:rsidP="00947E73">
            <w:pPr>
              <w:spacing w:after="0"/>
              <w:jc w:val="center"/>
              <w:rPr>
                <w:rFonts w:asciiTheme="minorHAnsi" w:hAnsiTheme="minorHAnsi"/>
              </w:rPr>
            </w:pPr>
            <w:r w:rsidRPr="00E87C2C">
              <w:rPr>
                <w:rFonts w:asciiTheme="minorHAnsi" w:hAnsiTheme="minorHAnsi"/>
              </w:rPr>
              <w:t>7</w:t>
            </w:r>
          </w:p>
        </w:tc>
        <w:tc>
          <w:tcPr>
            <w:tcW w:w="3568" w:type="dxa"/>
            <w:tcBorders>
              <w:top w:val="single" w:sz="4" w:space="0" w:color="auto"/>
              <w:left w:val="nil"/>
            </w:tcBorders>
          </w:tcPr>
          <w:p w14:paraId="61629EF5" w14:textId="77777777" w:rsidR="00FE2EF8" w:rsidRPr="00E87C2C" w:rsidRDefault="00FE2EF8" w:rsidP="00947E73">
            <w:pPr>
              <w:spacing w:after="0"/>
              <w:rPr>
                <w:rFonts w:asciiTheme="minorHAnsi" w:hAnsiTheme="minorHAnsi"/>
              </w:rPr>
            </w:pPr>
            <w:r w:rsidRPr="00E87C2C">
              <w:rPr>
                <w:rFonts w:asciiTheme="minorHAnsi" w:hAnsiTheme="minorHAnsi"/>
              </w:rPr>
              <w:t>Mental health condition</w:t>
            </w:r>
          </w:p>
        </w:tc>
        <w:tc>
          <w:tcPr>
            <w:tcW w:w="1054" w:type="dxa"/>
            <w:tcBorders>
              <w:top w:val="single" w:sz="4" w:space="0" w:color="auto"/>
            </w:tcBorders>
          </w:tcPr>
          <w:p w14:paraId="1F790ED3" w14:textId="77777777" w:rsidR="00FE2EF8" w:rsidRPr="00E87C2C" w:rsidRDefault="00FE2EF8" w:rsidP="00947E73">
            <w:pPr>
              <w:spacing w:after="0"/>
              <w:jc w:val="center"/>
              <w:rPr>
                <w:rFonts w:asciiTheme="minorHAnsi" w:hAnsiTheme="minorHAnsi"/>
              </w:rPr>
            </w:pPr>
            <w:r w:rsidRPr="00E87C2C">
              <w:rPr>
                <w:rFonts w:asciiTheme="minorHAnsi" w:hAnsiTheme="minorHAnsi"/>
              </w:rPr>
              <w:t>13</w:t>
            </w:r>
          </w:p>
        </w:tc>
      </w:tr>
      <w:tr w:rsidR="00FE2EF8" w:rsidRPr="00E87C2C" w14:paraId="7DCBD132" w14:textId="77777777" w:rsidTr="00390DAE">
        <w:tc>
          <w:tcPr>
            <w:tcW w:w="3510" w:type="dxa"/>
            <w:tcBorders>
              <w:top w:val="single" w:sz="4" w:space="0" w:color="auto"/>
            </w:tcBorders>
          </w:tcPr>
          <w:p w14:paraId="1538317C" w14:textId="77777777" w:rsidR="00FE2EF8" w:rsidRPr="00E87C2C" w:rsidRDefault="00FE2EF8" w:rsidP="00947E73">
            <w:pPr>
              <w:spacing w:after="0"/>
              <w:rPr>
                <w:rFonts w:asciiTheme="minorHAnsi" w:hAnsiTheme="minorHAnsi"/>
              </w:rPr>
            </w:pPr>
            <w:r w:rsidRPr="00E87C2C">
              <w:rPr>
                <w:rFonts w:asciiTheme="minorHAnsi" w:hAnsiTheme="minorHAnsi"/>
              </w:rPr>
              <w:t xml:space="preserve">No qualifications </w:t>
            </w:r>
          </w:p>
        </w:tc>
        <w:tc>
          <w:tcPr>
            <w:tcW w:w="1110" w:type="dxa"/>
            <w:tcBorders>
              <w:top w:val="single" w:sz="4" w:space="0" w:color="auto"/>
            </w:tcBorders>
          </w:tcPr>
          <w:p w14:paraId="27CF0EB5" w14:textId="77777777" w:rsidR="00FE2EF8" w:rsidRPr="00E87C2C" w:rsidRDefault="00FE2EF8" w:rsidP="00947E73">
            <w:pPr>
              <w:spacing w:after="0"/>
              <w:jc w:val="center"/>
              <w:rPr>
                <w:rFonts w:asciiTheme="minorHAnsi" w:hAnsiTheme="minorHAnsi"/>
              </w:rPr>
            </w:pPr>
            <w:r w:rsidRPr="00E87C2C">
              <w:rPr>
                <w:rFonts w:asciiTheme="minorHAnsi" w:hAnsiTheme="minorHAnsi"/>
              </w:rPr>
              <w:t>6</w:t>
            </w:r>
          </w:p>
        </w:tc>
        <w:tc>
          <w:tcPr>
            <w:tcW w:w="3568" w:type="dxa"/>
            <w:tcBorders>
              <w:left w:val="nil"/>
              <w:bottom w:val="single" w:sz="4" w:space="0" w:color="auto"/>
            </w:tcBorders>
          </w:tcPr>
          <w:p w14:paraId="4D740A1F" w14:textId="77777777" w:rsidR="00FE2EF8" w:rsidRPr="00E87C2C" w:rsidRDefault="00FE2EF8" w:rsidP="00947E73">
            <w:pPr>
              <w:spacing w:after="0"/>
              <w:rPr>
                <w:rFonts w:asciiTheme="minorHAnsi" w:hAnsiTheme="minorHAnsi"/>
              </w:rPr>
            </w:pPr>
            <w:r w:rsidRPr="00E87C2C">
              <w:rPr>
                <w:rFonts w:asciiTheme="minorHAnsi" w:hAnsiTheme="minorHAnsi"/>
              </w:rPr>
              <w:t>Physical health condition</w:t>
            </w:r>
          </w:p>
        </w:tc>
        <w:tc>
          <w:tcPr>
            <w:tcW w:w="1054" w:type="dxa"/>
            <w:tcBorders>
              <w:bottom w:val="single" w:sz="4" w:space="0" w:color="auto"/>
            </w:tcBorders>
          </w:tcPr>
          <w:p w14:paraId="77B53554" w14:textId="77777777" w:rsidR="00FE2EF8" w:rsidRPr="00E87C2C" w:rsidRDefault="00FE2EF8" w:rsidP="00947E73">
            <w:pPr>
              <w:spacing w:after="0"/>
              <w:jc w:val="center"/>
              <w:rPr>
                <w:rFonts w:asciiTheme="minorHAnsi" w:hAnsiTheme="minorHAnsi"/>
              </w:rPr>
            </w:pPr>
            <w:r w:rsidRPr="00E87C2C">
              <w:rPr>
                <w:rFonts w:asciiTheme="minorHAnsi" w:hAnsiTheme="minorHAnsi"/>
              </w:rPr>
              <w:t>19</w:t>
            </w:r>
          </w:p>
        </w:tc>
      </w:tr>
      <w:tr w:rsidR="00FE2EF8" w:rsidRPr="00E87C2C" w14:paraId="45195DB1" w14:textId="77777777" w:rsidTr="00390DAE">
        <w:tc>
          <w:tcPr>
            <w:tcW w:w="3510" w:type="dxa"/>
          </w:tcPr>
          <w:p w14:paraId="0F256AC5" w14:textId="77777777" w:rsidR="00FE2EF8" w:rsidRPr="00E87C2C" w:rsidRDefault="00FE2EF8" w:rsidP="00947E73">
            <w:pPr>
              <w:spacing w:after="0"/>
              <w:rPr>
                <w:rFonts w:asciiTheme="minorHAnsi" w:hAnsiTheme="minorHAnsi"/>
              </w:rPr>
            </w:pPr>
            <w:r w:rsidRPr="00E87C2C">
              <w:rPr>
                <w:rFonts w:asciiTheme="minorHAnsi" w:hAnsiTheme="minorHAnsi"/>
              </w:rPr>
              <w:t>NVQ Level 1 qualifications</w:t>
            </w:r>
          </w:p>
        </w:tc>
        <w:tc>
          <w:tcPr>
            <w:tcW w:w="1110" w:type="dxa"/>
          </w:tcPr>
          <w:p w14:paraId="297DC7EE" w14:textId="77777777" w:rsidR="00FE2EF8" w:rsidRPr="00E87C2C" w:rsidRDefault="00FE2EF8" w:rsidP="00947E73">
            <w:pPr>
              <w:spacing w:after="0"/>
              <w:jc w:val="center"/>
              <w:rPr>
                <w:rFonts w:asciiTheme="minorHAnsi" w:hAnsiTheme="minorHAnsi"/>
              </w:rPr>
            </w:pPr>
            <w:r w:rsidRPr="00E87C2C">
              <w:rPr>
                <w:rFonts w:asciiTheme="minorHAnsi" w:hAnsiTheme="minorHAnsi"/>
              </w:rPr>
              <w:t>3</w:t>
            </w:r>
          </w:p>
        </w:tc>
        <w:tc>
          <w:tcPr>
            <w:tcW w:w="3568" w:type="dxa"/>
            <w:tcBorders>
              <w:top w:val="single" w:sz="4" w:space="0" w:color="auto"/>
              <w:left w:val="nil"/>
            </w:tcBorders>
          </w:tcPr>
          <w:p w14:paraId="596BD06C" w14:textId="77777777" w:rsidR="00FE2EF8" w:rsidRPr="00E87C2C" w:rsidRDefault="00FE2EF8" w:rsidP="00947E73">
            <w:pPr>
              <w:spacing w:after="0"/>
              <w:jc w:val="right"/>
              <w:rPr>
                <w:rFonts w:asciiTheme="minorHAnsi" w:hAnsiTheme="minorHAnsi"/>
              </w:rPr>
            </w:pPr>
            <w:r w:rsidRPr="00E87C2C">
              <w:rPr>
                <w:rFonts w:asciiTheme="minorHAnsi" w:hAnsiTheme="minorHAnsi"/>
              </w:rPr>
              <w:t xml:space="preserve">Has claimed </w:t>
            </w:r>
            <w:r>
              <w:rPr>
                <w:rFonts w:asciiTheme="minorHAnsi" w:hAnsiTheme="minorHAnsi"/>
              </w:rPr>
              <w:t>incapacity benefits (IB/ESA)</w:t>
            </w:r>
          </w:p>
        </w:tc>
        <w:tc>
          <w:tcPr>
            <w:tcW w:w="1054" w:type="dxa"/>
            <w:tcBorders>
              <w:top w:val="single" w:sz="4" w:space="0" w:color="auto"/>
            </w:tcBorders>
          </w:tcPr>
          <w:p w14:paraId="1827ACB5" w14:textId="77777777" w:rsidR="00FE2EF8" w:rsidRPr="00E87C2C" w:rsidRDefault="00FE2EF8" w:rsidP="00947E73">
            <w:pPr>
              <w:spacing w:after="0"/>
              <w:jc w:val="center"/>
              <w:rPr>
                <w:rFonts w:asciiTheme="minorHAnsi" w:hAnsiTheme="minorHAnsi"/>
              </w:rPr>
            </w:pPr>
            <w:r w:rsidRPr="00E87C2C">
              <w:rPr>
                <w:rFonts w:asciiTheme="minorHAnsi" w:hAnsiTheme="minorHAnsi"/>
              </w:rPr>
              <w:t>14</w:t>
            </w:r>
          </w:p>
        </w:tc>
      </w:tr>
      <w:tr w:rsidR="00FE2EF8" w:rsidRPr="00E87C2C" w14:paraId="32B8E75A" w14:textId="77777777" w:rsidTr="00390DAE">
        <w:tc>
          <w:tcPr>
            <w:tcW w:w="3510" w:type="dxa"/>
          </w:tcPr>
          <w:p w14:paraId="792C2324" w14:textId="77777777" w:rsidR="00FE2EF8" w:rsidRPr="00E87C2C" w:rsidRDefault="00FE2EF8" w:rsidP="00947E73">
            <w:pPr>
              <w:spacing w:after="0"/>
              <w:rPr>
                <w:rFonts w:asciiTheme="minorHAnsi" w:hAnsiTheme="minorHAnsi"/>
              </w:rPr>
            </w:pPr>
            <w:r w:rsidRPr="00E87C2C">
              <w:rPr>
                <w:rFonts w:asciiTheme="minorHAnsi" w:hAnsiTheme="minorHAnsi"/>
              </w:rPr>
              <w:t>NVQ Level 2 qualifications</w:t>
            </w:r>
          </w:p>
        </w:tc>
        <w:tc>
          <w:tcPr>
            <w:tcW w:w="1110" w:type="dxa"/>
          </w:tcPr>
          <w:p w14:paraId="2D4D2619" w14:textId="77777777" w:rsidR="00FE2EF8" w:rsidRPr="00E87C2C" w:rsidRDefault="00FE2EF8" w:rsidP="00947E73">
            <w:pPr>
              <w:spacing w:after="0"/>
              <w:jc w:val="center"/>
              <w:rPr>
                <w:rFonts w:asciiTheme="minorHAnsi" w:hAnsiTheme="minorHAnsi"/>
              </w:rPr>
            </w:pPr>
            <w:r w:rsidRPr="00E87C2C">
              <w:rPr>
                <w:rFonts w:asciiTheme="minorHAnsi" w:hAnsiTheme="minorHAnsi"/>
              </w:rPr>
              <w:t>8</w:t>
            </w:r>
          </w:p>
        </w:tc>
        <w:tc>
          <w:tcPr>
            <w:tcW w:w="3568" w:type="dxa"/>
            <w:tcBorders>
              <w:left w:val="nil"/>
              <w:bottom w:val="single" w:sz="4" w:space="0" w:color="auto"/>
            </w:tcBorders>
          </w:tcPr>
          <w:p w14:paraId="03BB570A" w14:textId="77777777" w:rsidR="00FE2EF8" w:rsidRPr="00E87C2C" w:rsidRDefault="00FE2EF8" w:rsidP="00947E73">
            <w:pPr>
              <w:spacing w:after="0"/>
              <w:jc w:val="right"/>
              <w:rPr>
                <w:rFonts w:asciiTheme="minorHAnsi" w:hAnsiTheme="minorHAnsi"/>
              </w:rPr>
            </w:pPr>
            <w:r w:rsidRPr="00E87C2C">
              <w:rPr>
                <w:rFonts w:asciiTheme="minorHAnsi" w:hAnsiTheme="minorHAnsi"/>
              </w:rPr>
              <w:t xml:space="preserve">Not claimed </w:t>
            </w:r>
            <w:r>
              <w:rPr>
                <w:rFonts w:asciiTheme="minorHAnsi" w:hAnsiTheme="minorHAnsi"/>
              </w:rPr>
              <w:t>incapacity benefits</w:t>
            </w:r>
          </w:p>
        </w:tc>
        <w:tc>
          <w:tcPr>
            <w:tcW w:w="1054" w:type="dxa"/>
            <w:tcBorders>
              <w:bottom w:val="single" w:sz="4" w:space="0" w:color="auto"/>
            </w:tcBorders>
          </w:tcPr>
          <w:p w14:paraId="4506D8D3" w14:textId="77777777" w:rsidR="00FE2EF8" w:rsidRPr="00E87C2C" w:rsidRDefault="00FE2EF8" w:rsidP="00947E73">
            <w:pPr>
              <w:spacing w:after="0"/>
              <w:jc w:val="center"/>
              <w:rPr>
                <w:rFonts w:asciiTheme="minorHAnsi" w:hAnsiTheme="minorHAnsi"/>
              </w:rPr>
            </w:pPr>
            <w:r w:rsidRPr="00E87C2C">
              <w:rPr>
                <w:rFonts w:asciiTheme="minorHAnsi" w:hAnsiTheme="minorHAnsi"/>
              </w:rPr>
              <w:t>18</w:t>
            </w:r>
          </w:p>
        </w:tc>
      </w:tr>
      <w:tr w:rsidR="00FE2EF8" w:rsidRPr="00E87C2C" w14:paraId="045DA8F6" w14:textId="77777777" w:rsidTr="00390DAE">
        <w:tc>
          <w:tcPr>
            <w:tcW w:w="3510" w:type="dxa"/>
          </w:tcPr>
          <w:p w14:paraId="7A903338" w14:textId="77777777" w:rsidR="00FE2EF8" w:rsidRPr="00E87C2C" w:rsidRDefault="00FE2EF8" w:rsidP="00947E73">
            <w:pPr>
              <w:spacing w:after="0"/>
              <w:rPr>
                <w:rFonts w:asciiTheme="minorHAnsi" w:hAnsiTheme="minorHAnsi"/>
              </w:rPr>
            </w:pPr>
            <w:r w:rsidRPr="00E87C2C">
              <w:rPr>
                <w:rFonts w:asciiTheme="minorHAnsi" w:hAnsiTheme="minorHAnsi"/>
              </w:rPr>
              <w:t>NVQ Level 3 qualifications</w:t>
            </w:r>
          </w:p>
        </w:tc>
        <w:tc>
          <w:tcPr>
            <w:tcW w:w="1110" w:type="dxa"/>
          </w:tcPr>
          <w:p w14:paraId="0909EF25" w14:textId="77777777" w:rsidR="00FE2EF8" w:rsidRPr="00E87C2C" w:rsidRDefault="00FE2EF8" w:rsidP="00947E73">
            <w:pPr>
              <w:spacing w:after="0"/>
              <w:jc w:val="center"/>
              <w:rPr>
                <w:rFonts w:asciiTheme="minorHAnsi" w:hAnsiTheme="minorHAnsi"/>
              </w:rPr>
            </w:pPr>
            <w:r w:rsidRPr="00E87C2C">
              <w:rPr>
                <w:rFonts w:asciiTheme="minorHAnsi" w:hAnsiTheme="minorHAnsi"/>
              </w:rPr>
              <w:t>6</w:t>
            </w:r>
          </w:p>
        </w:tc>
        <w:tc>
          <w:tcPr>
            <w:tcW w:w="3568" w:type="dxa"/>
            <w:tcBorders>
              <w:top w:val="single" w:sz="4" w:space="0" w:color="auto"/>
              <w:left w:val="nil"/>
            </w:tcBorders>
          </w:tcPr>
          <w:p w14:paraId="5D282566" w14:textId="77777777" w:rsidR="00FE2EF8" w:rsidRPr="00E87C2C" w:rsidRDefault="00FE2EF8" w:rsidP="00947E73">
            <w:pPr>
              <w:spacing w:after="0"/>
              <w:rPr>
                <w:rFonts w:asciiTheme="minorHAnsi" w:hAnsiTheme="minorHAnsi"/>
              </w:rPr>
            </w:pPr>
            <w:r>
              <w:rPr>
                <w:rFonts w:asciiTheme="minorHAnsi" w:hAnsiTheme="minorHAnsi"/>
              </w:rPr>
              <w:t>Left work due to health problem</w:t>
            </w:r>
          </w:p>
        </w:tc>
        <w:tc>
          <w:tcPr>
            <w:tcW w:w="1054" w:type="dxa"/>
            <w:tcBorders>
              <w:top w:val="single" w:sz="4" w:space="0" w:color="auto"/>
            </w:tcBorders>
          </w:tcPr>
          <w:p w14:paraId="682F946B" w14:textId="77777777" w:rsidR="00FE2EF8" w:rsidRPr="00E87C2C" w:rsidRDefault="00FE2EF8" w:rsidP="00947E73">
            <w:pPr>
              <w:spacing w:after="0"/>
              <w:jc w:val="center"/>
              <w:rPr>
                <w:rFonts w:asciiTheme="minorHAnsi" w:hAnsiTheme="minorHAnsi"/>
              </w:rPr>
            </w:pPr>
            <w:r>
              <w:rPr>
                <w:rFonts w:asciiTheme="minorHAnsi" w:hAnsiTheme="minorHAnsi"/>
              </w:rPr>
              <w:t>18</w:t>
            </w:r>
          </w:p>
        </w:tc>
      </w:tr>
      <w:tr w:rsidR="00FE2EF8" w:rsidRPr="00E87C2C" w14:paraId="302CCAB1" w14:textId="77777777" w:rsidTr="00390DAE">
        <w:tc>
          <w:tcPr>
            <w:tcW w:w="3510" w:type="dxa"/>
            <w:tcBorders>
              <w:bottom w:val="single" w:sz="4" w:space="0" w:color="auto"/>
            </w:tcBorders>
          </w:tcPr>
          <w:p w14:paraId="1827A1E9" w14:textId="77777777" w:rsidR="00FE2EF8" w:rsidRPr="00E87C2C" w:rsidRDefault="00FE2EF8" w:rsidP="00947E73">
            <w:pPr>
              <w:spacing w:after="0"/>
              <w:rPr>
                <w:rFonts w:asciiTheme="minorHAnsi" w:hAnsiTheme="minorHAnsi"/>
              </w:rPr>
            </w:pPr>
            <w:r w:rsidRPr="00E87C2C">
              <w:rPr>
                <w:rFonts w:asciiTheme="minorHAnsi" w:hAnsiTheme="minorHAnsi"/>
              </w:rPr>
              <w:t>Degree-level qualifications</w:t>
            </w:r>
          </w:p>
        </w:tc>
        <w:tc>
          <w:tcPr>
            <w:tcW w:w="1110" w:type="dxa"/>
            <w:tcBorders>
              <w:bottom w:val="single" w:sz="4" w:space="0" w:color="auto"/>
            </w:tcBorders>
          </w:tcPr>
          <w:p w14:paraId="437B387E" w14:textId="77777777" w:rsidR="00FE2EF8" w:rsidRPr="00E87C2C" w:rsidRDefault="00FE2EF8" w:rsidP="00947E73">
            <w:pPr>
              <w:spacing w:after="0"/>
              <w:jc w:val="center"/>
              <w:rPr>
                <w:rFonts w:asciiTheme="minorHAnsi" w:hAnsiTheme="minorHAnsi"/>
              </w:rPr>
            </w:pPr>
            <w:r w:rsidRPr="00E87C2C">
              <w:rPr>
                <w:rFonts w:asciiTheme="minorHAnsi" w:hAnsiTheme="minorHAnsi"/>
              </w:rPr>
              <w:t>8</w:t>
            </w:r>
          </w:p>
        </w:tc>
        <w:tc>
          <w:tcPr>
            <w:tcW w:w="3568" w:type="dxa"/>
            <w:tcBorders>
              <w:left w:val="nil"/>
              <w:bottom w:val="single" w:sz="4" w:space="0" w:color="auto"/>
            </w:tcBorders>
          </w:tcPr>
          <w:p w14:paraId="6933133C" w14:textId="77777777" w:rsidR="00FE2EF8" w:rsidRPr="00E87C2C" w:rsidRDefault="00FE2EF8" w:rsidP="00947E73">
            <w:pPr>
              <w:spacing w:after="0"/>
              <w:rPr>
                <w:rFonts w:asciiTheme="minorHAnsi" w:hAnsiTheme="minorHAnsi"/>
              </w:rPr>
            </w:pPr>
            <w:r>
              <w:rPr>
                <w:rFonts w:asciiTheme="minorHAnsi" w:hAnsiTheme="minorHAnsi"/>
              </w:rPr>
              <w:t>Stayed in work</w:t>
            </w:r>
          </w:p>
        </w:tc>
        <w:tc>
          <w:tcPr>
            <w:tcW w:w="1054" w:type="dxa"/>
            <w:tcBorders>
              <w:bottom w:val="single" w:sz="4" w:space="0" w:color="auto"/>
            </w:tcBorders>
          </w:tcPr>
          <w:p w14:paraId="6775E05A" w14:textId="77777777" w:rsidR="00FE2EF8" w:rsidRPr="00E87C2C" w:rsidRDefault="00FE2EF8" w:rsidP="00947E73">
            <w:pPr>
              <w:spacing w:after="0"/>
              <w:jc w:val="center"/>
              <w:rPr>
                <w:rFonts w:asciiTheme="minorHAnsi" w:hAnsiTheme="minorHAnsi"/>
              </w:rPr>
            </w:pPr>
            <w:r>
              <w:rPr>
                <w:rFonts w:asciiTheme="minorHAnsi" w:hAnsiTheme="minorHAnsi"/>
              </w:rPr>
              <w:t>14</w:t>
            </w:r>
          </w:p>
        </w:tc>
      </w:tr>
    </w:tbl>
    <w:p w14:paraId="4168B4A7" w14:textId="77777777" w:rsidR="00E87C2C" w:rsidRDefault="00E87C2C" w:rsidP="00947E73">
      <w:pPr>
        <w:spacing w:after="0" w:line="480" w:lineRule="auto"/>
        <w:sectPr w:rsidR="00E87C2C" w:rsidSect="00DE16FC">
          <w:pgSz w:w="11906" w:h="16838"/>
          <w:pgMar w:top="1440" w:right="1440" w:bottom="1440" w:left="1440" w:header="708" w:footer="708" w:gutter="0"/>
          <w:cols w:space="708"/>
          <w:docGrid w:linePitch="360"/>
        </w:sectPr>
      </w:pPr>
    </w:p>
    <w:p w14:paraId="68E74807" w14:textId="77777777" w:rsidR="00D15F47" w:rsidRDefault="00D15F47" w:rsidP="00947E73">
      <w:pPr>
        <w:pStyle w:val="Heading1"/>
        <w:spacing w:line="480" w:lineRule="auto"/>
      </w:pPr>
      <w:r>
        <w:lastRenderedPageBreak/>
        <w:t>Bibliography</w:t>
      </w:r>
    </w:p>
    <w:p w14:paraId="4C8ACE03" w14:textId="77777777" w:rsidR="003242B5" w:rsidRPr="003242B5" w:rsidRDefault="00390DAE" w:rsidP="003242B5">
      <w:pPr>
        <w:pStyle w:val="EndNoteBibliography"/>
        <w:spacing w:after="0"/>
        <w:ind w:left="720" w:hanging="720"/>
      </w:pPr>
      <w:r>
        <w:fldChar w:fldCharType="begin"/>
      </w:r>
      <w:r>
        <w:instrText xml:space="preserve"> ADDIN EN.REFLIST </w:instrText>
      </w:r>
      <w:r>
        <w:fldChar w:fldCharType="separate"/>
      </w:r>
      <w:bookmarkStart w:id="3" w:name="_ENREF_1"/>
      <w:r w:rsidR="003242B5" w:rsidRPr="003242B5">
        <w:t xml:space="preserve">Allebeck, P. &amp; Mastekaasa, A. (2004), Chapter 5.  Risk factors for sick leave - general studies. </w:t>
      </w:r>
      <w:r w:rsidR="003242B5" w:rsidRPr="003242B5">
        <w:rPr>
          <w:i/>
        </w:rPr>
        <w:t>Scandinavian Journal of Public Health,</w:t>
      </w:r>
      <w:r w:rsidR="003242B5" w:rsidRPr="003242B5">
        <w:t xml:space="preserve"> 32: 49-108.</w:t>
      </w:r>
      <w:bookmarkEnd w:id="3"/>
    </w:p>
    <w:p w14:paraId="4D406788" w14:textId="77777777" w:rsidR="003242B5" w:rsidRPr="003242B5" w:rsidRDefault="003242B5" w:rsidP="003242B5">
      <w:pPr>
        <w:pStyle w:val="EndNoteBibliography"/>
        <w:spacing w:after="0"/>
        <w:ind w:left="720" w:hanging="720"/>
      </w:pPr>
      <w:bookmarkStart w:id="4" w:name="_ENREF_2"/>
      <w:r w:rsidRPr="003242B5">
        <w:t xml:space="preserve">Barnes, C. (2000), A working social model? Disability, work and disability politics in the 21st century. </w:t>
      </w:r>
      <w:r w:rsidRPr="003242B5">
        <w:rPr>
          <w:i/>
        </w:rPr>
        <w:t>Critical Social Policy,</w:t>
      </w:r>
      <w:r w:rsidRPr="003242B5">
        <w:t xml:space="preserve"> 20, 4: 441-457.</w:t>
      </w:r>
      <w:bookmarkEnd w:id="4"/>
    </w:p>
    <w:p w14:paraId="72C5A233" w14:textId="77777777" w:rsidR="003242B5" w:rsidRPr="003242B5" w:rsidRDefault="003242B5" w:rsidP="003242B5">
      <w:pPr>
        <w:pStyle w:val="EndNoteBibliography"/>
        <w:spacing w:after="0"/>
        <w:ind w:left="720" w:hanging="720"/>
      </w:pPr>
      <w:bookmarkStart w:id="5" w:name="_ENREF_3"/>
      <w:r w:rsidRPr="003242B5">
        <w:t>Baumberg, B. (2011), The role of increasing job strain in deteriorating fitness-for-work and rising incapacity benefit receipt. PhD thesis, The London School of Economics and Political Science (LSE).</w:t>
      </w:r>
      <w:bookmarkEnd w:id="5"/>
    </w:p>
    <w:p w14:paraId="46ACC317" w14:textId="77777777" w:rsidR="003242B5" w:rsidRPr="003242B5" w:rsidRDefault="003242B5" w:rsidP="003242B5">
      <w:pPr>
        <w:pStyle w:val="EndNoteBibliography"/>
        <w:spacing w:after="0"/>
        <w:ind w:left="720" w:hanging="720"/>
      </w:pPr>
      <w:bookmarkStart w:id="6" w:name="_ENREF_4"/>
      <w:r w:rsidRPr="003242B5">
        <w:t xml:space="preserve">Baumberg, B. (2014), Fit-for-Work – or Work Fit for Disabled People? The Role of Changing Job Demands and Control in Incapacity Claims. </w:t>
      </w:r>
      <w:r w:rsidRPr="003242B5">
        <w:rPr>
          <w:i/>
        </w:rPr>
        <w:t>Journal of Social Policy,</w:t>
      </w:r>
      <w:r w:rsidRPr="003242B5">
        <w:t xml:space="preserve"> 43: 289-310.</w:t>
      </w:r>
      <w:bookmarkEnd w:id="6"/>
    </w:p>
    <w:p w14:paraId="52A73C0A" w14:textId="77777777" w:rsidR="003242B5" w:rsidRPr="003242B5" w:rsidRDefault="003242B5" w:rsidP="003242B5">
      <w:pPr>
        <w:pStyle w:val="EndNoteBibliography"/>
        <w:spacing w:after="0"/>
        <w:ind w:left="720" w:hanging="720"/>
      </w:pPr>
      <w:bookmarkStart w:id="7" w:name="_ENREF_5"/>
      <w:r w:rsidRPr="003242B5">
        <w:t xml:space="preserve">Beatty, C. &amp; Fothergill, S. (2005), The diversion from 'unemployment' to 'sickness' across British regions and districts. </w:t>
      </w:r>
      <w:r w:rsidRPr="003242B5">
        <w:rPr>
          <w:i/>
        </w:rPr>
        <w:t>Regional Studies,</w:t>
      </w:r>
      <w:r w:rsidRPr="003242B5">
        <w:t xml:space="preserve"> 39, 7: 837-854.</w:t>
      </w:r>
      <w:bookmarkEnd w:id="7"/>
    </w:p>
    <w:p w14:paraId="2FF79236" w14:textId="77777777" w:rsidR="003242B5" w:rsidRPr="003242B5" w:rsidRDefault="003242B5" w:rsidP="003242B5">
      <w:pPr>
        <w:pStyle w:val="EndNoteBibliography"/>
        <w:spacing w:after="0"/>
        <w:ind w:left="720" w:hanging="720"/>
      </w:pPr>
      <w:bookmarkStart w:id="8" w:name="_ENREF_6"/>
      <w:r w:rsidRPr="003242B5">
        <w:t xml:space="preserve">Beatty, C., Fothergill, S., Houston, D., Powell, R. &amp; Sissons, P. (2009), A Gendered Theory of Employment, Unemployment and Sickness. </w:t>
      </w:r>
      <w:r w:rsidRPr="003242B5">
        <w:rPr>
          <w:i/>
        </w:rPr>
        <w:t>Environment and Planning C: Government and Policy</w:t>
      </w:r>
      <w:r w:rsidRPr="003242B5">
        <w:t>, 958-974.</w:t>
      </w:r>
      <w:bookmarkEnd w:id="8"/>
    </w:p>
    <w:p w14:paraId="13DBA9A2" w14:textId="77777777" w:rsidR="003242B5" w:rsidRPr="003242B5" w:rsidRDefault="003242B5" w:rsidP="003242B5">
      <w:pPr>
        <w:pStyle w:val="EndNoteBibliography"/>
        <w:spacing w:after="0"/>
        <w:ind w:left="720" w:hanging="720"/>
      </w:pPr>
      <w:bookmarkStart w:id="9" w:name="_ENREF_7"/>
      <w:r w:rsidRPr="003242B5">
        <w:t xml:space="preserve">Beatty, C., Fothergill, S. &amp; Macmillan, R. (2000), A Theory of Employment, Unemployment and Sickness. </w:t>
      </w:r>
      <w:r w:rsidRPr="003242B5">
        <w:rPr>
          <w:i/>
        </w:rPr>
        <w:t>Regional Studies,</w:t>
      </w:r>
      <w:r w:rsidRPr="003242B5">
        <w:t xml:space="preserve"> 34, 7: 617-630.</w:t>
      </w:r>
      <w:bookmarkEnd w:id="9"/>
    </w:p>
    <w:p w14:paraId="4F230836" w14:textId="77777777" w:rsidR="003242B5" w:rsidRPr="003242B5" w:rsidRDefault="003242B5" w:rsidP="003242B5">
      <w:pPr>
        <w:pStyle w:val="EndNoteBibliography"/>
        <w:spacing w:after="0"/>
        <w:ind w:left="720" w:hanging="720"/>
      </w:pPr>
      <w:bookmarkStart w:id="10" w:name="_ENREF_8"/>
      <w:r w:rsidRPr="003242B5">
        <w:t>Citizens Advice Bureau (2010), Not working: CAB evidence on the ESA work capability assessment.</w:t>
      </w:r>
      <w:bookmarkEnd w:id="10"/>
    </w:p>
    <w:p w14:paraId="5AC538D2" w14:textId="77777777" w:rsidR="003242B5" w:rsidRPr="003242B5" w:rsidRDefault="003242B5" w:rsidP="003242B5">
      <w:pPr>
        <w:pStyle w:val="EndNoteBibliography"/>
        <w:spacing w:after="0"/>
        <w:ind w:left="720" w:hanging="720"/>
      </w:pPr>
      <w:bookmarkStart w:id="11" w:name="_ENREF_9"/>
      <w:r w:rsidRPr="003242B5">
        <w:t xml:space="preserve">De Raeve, L., Kant, I., Jansen, N. W. H., Vasse, R. M. &amp; van den Brandt, P. A. (2009), Changes in mental health as apredictor of changes in working time arrangements and occupational mobility: Results from a prospective cohort study. </w:t>
      </w:r>
      <w:r w:rsidRPr="003242B5">
        <w:rPr>
          <w:i/>
        </w:rPr>
        <w:t>Journal of Psychosomatic Research,</w:t>
      </w:r>
      <w:r w:rsidRPr="003242B5">
        <w:t xml:space="preserve"> 66, 2: 137-145.</w:t>
      </w:r>
      <w:bookmarkEnd w:id="11"/>
    </w:p>
    <w:p w14:paraId="36C4B76F" w14:textId="77777777" w:rsidR="003242B5" w:rsidRPr="003242B5" w:rsidRDefault="003242B5" w:rsidP="003242B5">
      <w:pPr>
        <w:pStyle w:val="EndNoteBibliography"/>
        <w:spacing w:after="0"/>
        <w:ind w:left="720" w:hanging="720"/>
      </w:pPr>
      <w:bookmarkStart w:id="12" w:name="_ENREF_10"/>
      <w:r w:rsidRPr="003242B5">
        <w:t xml:space="preserve">Gewurtz, R. &amp; Kirs, B. (2009), Disruption, disbelief and resistance: A meta-synthesis of disability in the workplace </w:t>
      </w:r>
      <w:r w:rsidRPr="003242B5">
        <w:rPr>
          <w:i/>
        </w:rPr>
        <w:t>Work,</w:t>
      </w:r>
      <w:r w:rsidRPr="003242B5">
        <w:t xml:space="preserve"> 34, 1: 33-44.</w:t>
      </w:r>
      <w:bookmarkEnd w:id="12"/>
    </w:p>
    <w:p w14:paraId="5800053A" w14:textId="77777777" w:rsidR="003242B5" w:rsidRPr="003242B5" w:rsidRDefault="003242B5" w:rsidP="003242B5">
      <w:pPr>
        <w:pStyle w:val="EndNoteBibliography"/>
        <w:spacing w:after="0"/>
        <w:ind w:left="720" w:hanging="720"/>
      </w:pPr>
      <w:bookmarkStart w:id="13" w:name="_ENREF_11"/>
      <w:r w:rsidRPr="003242B5">
        <w:t xml:space="preserve">Gignac, M. A. M., Cao, X., Lacaille, D., Anis, A. H. &amp; Badley, E. M. (2008), Arthritis-related work transitions: A prospective analysis of reported productivity losses, work changes, and leaving the labor force. </w:t>
      </w:r>
      <w:r w:rsidRPr="003242B5">
        <w:rPr>
          <w:i/>
        </w:rPr>
        <w:t>Arthritis Care &amp; Research,</w:t>
      </w:r>
      <w:r w:rsidRPr="003242B5">
        <w:t xml:space="preserve"> 59, 12: 1805-1813.</w:t>
      </w:r>
      <w:bookmarkEnd w:id="13"/>
    </w:p>
    <w:p w14:paraId="516F9EA7" w14:textId="77777777" w:rsidR="003242B5" w:rsidRPr="003242B5" w:rsidRDefault="003242B5" w:rsidP="003242B5">
      <w:pPr>
        <w:pStyle w:val="EndNoteBibliography"/>
        <w:spacing w:after="0"/>
        <w:ind w:left="720" w:hanging="720"/>
      </w:pPr>
      <w:bookmarkStart w:id="14" w:name="_ENREF_12"/>
      <w:r w:rsidRPr="003242B5">
        <w:t>Gulland, J. (2011), ‘Excessive sickness claims’: controlling sickness and incapacity benefits in the early 20th century. Paper presented to the Social Policy Association annual conference, Lincoln 2011.</w:t>
      </w:r>
      <w:bookmarkEnd w:id="14"/>
    </w:p>
    <w:p w14:paraId="012477D5" w14:textId="77777777" w:rsidR="003242B5" w:rsidRPr="003242B5" w:rsidRDefault="003242B5" w:rsidP="003242B5">
      <w:pPr>
        <w:pStyle w:val="EndNoteBibliography"/>
        <w:spacing w:after="0"/>
        <w:ind w:left="720" w:hanging="720"/>
      </w:pPr>
      <w:bookmarkStart w:id="15" w:name="_ENREF_13"/>
      <w:r w:rsidRPr="003242B5">
        <w:t xml:space="preserve">Hansson, M., Bostrom, C. &amp; Harms-Ringdahl, K. (2006), Sickness absence and sickness attendance—What people with neck or back pain think. </w:t>
      </w:r>
      <w:r w:rsidRPr="003242B5">
        <w:rPr>
          <w:i/>
        </w:rPr>
        <w:t>Social Science &amp; Medicine,</w:t>
      </w:r>
      <w:r w:rsidRPr="003242B5">
        <w:t xml:space="preserve"> 62: 2183-2195.</w:t>
      </w:r>
      <w:bookmarkEnd w:id="15"/>
    </w:p>
    <w:p w14:paraId="3502D058" w14:textId="77777777" w:rsidR="003242B5" w:rsidRPr="003242B5" w:rsidRDefault="003242B5" w:rsidP="003242B5">
      <w:pPr>
        <w:pStyle w:val="EndNoteBibliography"/>
        <w:spacing w:after="0"/>
        <w:ind w:left="720" w:hanging="720"/>
      </w:pPr>
      <w:bookmarkStart w:id="16" w:name="_ENREF_14"/>
      <w:r w:rsidRPr="003242B5">
        <w:t>Harrington, M. (2011), An Independent Review of the Work Capability Assessment - Year two. London, The Stationery Office for the Department of Work and Pensions (DWP).</w:t>
      </w:r>
      <w:bookmarkEnd w:id="16"/>
    </w:p>
    <w:p w14:paraId="25A7B60E" w14:textId="77777777" w:rsidR="003242B5" w:rsidRPr="003242B5" w:rsidRDefault="003242B5" w:rsidP="003242B5">
      <w:pPr>
        <w:pStyle w:val="EndNoteBibliography"/>
        <w:spacing w:after="0"/>
        <w:ind w:left="720" w:hanging="720"/>
      </w:pPr>
      <w:bookmarkStart w:id="17" w:name="_ENREF_15"/>
      <w:r w:rsidRPr="003242B5">
        <w:t xml:space="preserve">Hodgson, D. E. (2004), Project Work: The Legacy of Bureaucratic Control in the Post-Bureaucratic Organization. </w:t>
      </w:r>
      <w:r w:rsidRPr="003242B5">
        <w:rPr>
          <w:i/>
        </w:rPr>
        <w:t>Organization,</w:t>
      </w:r>
      <w:r w:rsidRPr="003242B5">
        <w:t xml:space="preserve"> 11, 1: 81-100.</w:t>
      </w:r>
      <w:bookmarkEnd w:id="17"/>
    </w:p>
    <w:p w14:paraId="50126E3F" w14:textId="77777777" w:rsidR="003242B5" w:rsidRPr="003242B5" w:rsidRDefault="003242B5" w:rsidP="003242B5">
      <w:pPr>
        <w:pStyle w:val="EndNoteBibliography"/>
        <w:spacing w:after="0"/>
        <w:ind w:left="720" w:hanging="720"/>
      </w:pPr>
      <w:bookmarkStart w:id="18" w:name="_ENREF_16"/>
      <w:r w:rsidRPr="003242B5">
        <w:t xml:space="preserve">Houston, D. &amp; Lindsay, C. (2010), Fit for work? Health, employability and challenges for the UK welfare reform agenda. </w:t>
      </w:r>
      <w:r w:rsidRPr="003242B5">
        <w:rPr>
          <w:i/>
        </w:rPr>
        <w:t>Policy Studies,</w:t>
      </w:r>
      <w:r w:rsidRPr="003242B5">
        <w:t xml:space="preserve"> 31, 2: 133-142.</w:t>
      </w:r>
      <w:bookmarkEnd w:id="18"/>
    </w:p>
    <w:p w14:paraId="66AA28C3" w14:textId="77777777" w:rsidR="003242B5" w:rsidRPr="003242B5" w:rsidRDefault="003242B5" w:rsidP="003242B5">
      <w:pPr>
        <w:pStyle w:val="EndNoteBibliography"/>
        <w:spacing w:after="0"/>
        <w:ind w:left="720" w:hanging="720"/>
      </w:pPr>
      <w:bookmarkStart w:id="19" w:name="_ENREF_17"/>
      <w:r w:rsidRPr="003242B5">
        <w:t xml:space="preserve">Irvine, A. (2011), Fit for Work? The Influence of Sick Pay and Job Flexibility on Sickness Absence and Implications for Presenteeism. </w:t>
      </w:r>
      <w:r w:rsidRPr="003242B5">
        <w:rPr>
          <w:i/>
        </w:rPr>
        <w:t>Social Policy &amp; Administration,</w:t>
      </w:r>
      <w:r w:rsidRPr="003242B5">
        <w:t xml:space="preserve"> 45, 7: 752-769.</w:t>
      </w:r>
      <w:bookmarkEnd w:id="19"/>
    </w:p>
    <w:p w14:paraId="4DCC971E" w14:textId="77777777" w:rsidR="003242B5" w:rsidRPr="003242B5" w:rsidRDefault="003242B5" w:rsidP="003242B5">
      <w:pPr>
        <w:pStyle w:val="EndNoteBibliography"/>
        <w:spacing w:after="0"/>
        <w:ind w:left="720" w:hanging="720"/>
      </w:pPr>
      <w:bookmarkStart w:id="20" w:name="_ENREF_18"/>
      <w:r w:rsidRPr="003242B5">
        <w:t xml:space="preserve">Johansson, G. &amp; Lundberg, I. (2004), Adjustment latitude and attendance requirements as determinants of sickness absence or attendance. Empirical tests of the illness flexibility model. </w:t>
      </w:r>
      <w:r w:rsidRPr="003242B5">
        <w:rPr>
          <w:i/>
        </w:rPr>
        <w:t>Social Science &amp; Medicine,</w:t>
      </w:r>
      <w:r w:rsidRPr="003242B5">
        <w:t xml:space="preserve"> 58: 1857-1868.</w:t>
      </w:r>
      <w:bookmarkEnd w:id="20"/>
    </w:p>
    <w:p w14:paraId="4FCB9280" w14:textId="77777777" w:rsidR="003242B5" w:rsidRPr="003242B5" w:rsidRDefault="003242B5" w:rsidP="003242B5">
      <w:pPr>
        <w:pStyle w:val="EndNoteBibliography"/>
        <w:spacing w:after="0"/>
        <w:ind w:left="720" w:hanging="720"/>
      </w:pPr>
      <w:bookmarkStart w:id="21" w:name="_ENREF_19"/>
      <w:r w:rsidRPr="003242B5">
        <w:t xml:space="preserve">Jones, M. K. &amp; Latreille, P. (2011), Disability and Self-Employment: Evidence from the UK LFS. </w:t>
      </w:r>
      <w:r w:rsidRPr="003242B5">
        <w:rPr>
          <w:i/>
        </w:rPr>
        <w:t>Applied Economics,</w:t>
      </w:r>
      <w:r w:rsidRPr="003242B5">
        <w:t xml:space="preserve"> 43, 27: 4161-4178.</w:t>
      </w:r>
      <w:bookmarkEnd w:id="21"/>
    </w:p>
    <w:p w14:paraId="423F1DD9" w14:textId="77777777" w:rsidR="003242B5" w:rsidRPr="003242B5" w:rsidRDefault="003242B5" w:rsidP="003242B5">
      <w:pPr>
        <w:pStyle w:val="EndNoteBibliography"/>
        <w:spacing w:after="0"/>
        <w:ind w:left="720" w:hanging="720"/>
      </w:pPr>
      <w:bookmarkStart w:id="22" w:name="_ENREF_20"/>
      <w:r w:rsidRPr="003242B5">
        <w:t xml:space="preserve">Kangas, O. (2010), Work Accident and Sickness Benefits. In: F. Castles (ed), </w:t>
      </w:r>
      <w:r w:rsidRPr="003242B5">
        <w:rPr>
          <w:i/>
        </w:rPr>
        <w:t>Oxford Handbook of the Welfare State</w:t>
      </w:r>
      <w:r w:rsidRPr="003242B5">
        <w:t>, Oxford, Oxford University Press.</w:t>
      </w:r>
      <w:bookmarkEnd w:id="22"/>
    </w:p>
    <w:p w14:paraId="68137025" w14:textId="77777777" w:rsidR="003242B5" w:rsidRPr="003242B5" w:rsidRDefault="003242B5" w:rsidP="003242B5">
      <w:pPr>
        <w:pStyle w:val="EndNoteBibliography"/>
        <w:spacing w:after="0"/>
        <w:ind w:left="720" w:hanging="720"/>
      </w:pPr>
      <w:bookmarkStart w:id="23" w:name="_ENREF_21"/>
      <w:r w:rsidRPr="003242B5">
        <w:lastRenderedPageBreak/>
        <w:t xml:space="preserve">Karagiannaki, E. (2011), The Magnitude and Correlates of Inter-vivos Transfers in the UK. </w:t>
      </w:r>
      <w:r w:rsidRPr="003242B5">
        <w:rPr>
          <w:i/>
        </w:rPr>
        <w:t>CASEpaper 151</w:t>
      </w:r>
      <w:r w:rsidRPr="003242B5">
        <w:t>, London, Centre for Analysis of Social Exclusion (CASE), London School of Economics.</w:t>
      </w:r>
      <w:bookmarkEnd w:id="23"/>
    </w:p>
    <w:p w14:paraId="420DAB89" w14:textId="77777777" w:rsidR="003242B5" w:rsidRPr="003242B5" w:rsidRDefault="003242B5" w:rsidP="003242B5">
      <w:pPr>
        <w:pStyle w:val="EndNoteBibliography"/>
        <w:spacing w:after="0"/>
        <w:ind w:left="720" w:hanging="720"/>
      </w:pPr>
      <w:bookmarkStart w:id="24" w:name="_ENREF_22"/>
      <w:r w:rsidRPr="003242B5">
        <w:t>Kemp, P. A., Sunden, A. &amp; Tauritz, B. (2006), Sick societies? Trends in disability benefits in post-industrial welfare states. Geneva, International Social Security Association.</w:t>
      </w:r>
      <w:bookmarkEnd w:id="24"/>
    </w:p>
    <w:p w14:paraId="73CA10A9" w14:textId="77777777" w:rsidR="003242B5" w:rsidRPr="003242B5" w:rsidRDefault="003242B5" w:rsidP="003242B5">
      <w:pPr>
        <w:pStyle w:val="EndNoteBibliography"/>
        <w:spacing w:after="0"/>
        <w:ind w:left="720" w:hanging="720"/>
      </w:pPr>
      <w:bookmarkStart w:id="25" w:name="_ENREF_23"/>
      <w:r w:rsidRPr="003242B5">
        <w:t xml:space="preserve">Kennedy, F., Haslam, C., Munir, F. &amp; Pryce, J. (2007), Returning to work following cancer: a qualitative exploratory study into the experience of returning to work following cancer. </w:t>
      </w:r>
      <w:r w:rsidRPr="003242B5">
        <w:rPr>
          <w:i/>
        </w:rPr>
        <w:t>European Journal of Cancer Care,</w:t>
      </w:r>
      <w:r w:rsidRPr="003242B5">
        <w:t xml:space="preserve"> 16, 1: 17-25.</w:t>
      </w:r>
      <w:bookmarkEnd w:id="25"/>
    </w:p>
    <w:p w14:paraId="16C6C199" w14:textId="77777777" w:rsidR="003242B5" w:rsidRPr="003242B5" w:rsidRDefault="003242B5" w:rsidP="003242B5">
      <w:pPr>
        <w:pStyle w:val="EndNoteBibliography"/>
        <w:spacing w:after="0"/>
        <w:ind w:left="720" w:hanging="720"/>
      </w:pPr>
      <w:bookmarkStart w:id="26" w:name="_ENREF_24"/>
      <w:r w:rsidRPr="003242B5">
        <w:t xml:space="preserve">Liedberg, G. &amp; Henriksson, C. (2002), Factors of importance for work disability in women with fibromyalgia: An interview study. </w:t>
      </w:r>
      <w:r w:rsidRPr="003242B5">
        <w:rPr>
          <w:i/>
        </w:rPr>
        <w:t>Arthritis Care &amp; Research,</w:t>
      </w:r>
      <w:r w:rsidRPr="003242B5">
        <w:t xml:space="preserve"> 47, 3: 266-274.</w:t>
      </w:r>
      <w:bookmarkEnd w:id="26"/>
    </w:p>
    <w:p w14:paraId="0DBA54F2" w14:textId="77777777" w:rsidR="003242B5" w:rsidRPr="003242B5" w:rsidRDefault="003242B5" w:rsidP="003242B5">
      <w:pPr>
        <w:pStyle w:val="EndNoteBibliography"/>
        <w:spacing w:after="0"/>
        <w:ind w:left="720" w:hanging="720"/>
      </w:pPr>
      <w:bookmarkStart w:id="27" w:name="_ENREF_25"/>
      <w:r w:rsidRPr="003242B5">
        <w:t xml:space="preserve">Longhi, S., Nicoletti, C. &amp; Platt, L. (2009), Decomposing wage gaps across the pay distribution: Investigating inequalities of ethno-religious groups and disabled people. </w:t>
      </w:r>
      <w:r w:rsidRPr="003242B5">
        <w:rPr>
          <w:i/>
        </w:rPr>
        <w:t>ISER working paper No. 2009-3</w:t>
      </w:r>
      <w:r w:rsidRPr="003242B5">
        <w:t>, Essex, ISER, University of Essex.</w:t>
      </w:r>
      <w:bookmarkEnd w:id="27"/>
    </w:p>
    <w:p w14:paraId="5450FDBF" w14:textId="77777777" w:rsidR="003242B5" w:rsidRPr="003242B5" w:rsidRDefault="003242B5" w:rsidP="003242B5">
      <w:pPr>
        <w:pStyle w:val="EndNoteBibliography"/>
        <w:spacing w:after="0"/>
        <w:ind w:left="720" w:hanging="720"/>
      </w:pPr>
      <w:bookmarkStart w:id="28" w:name="_ENREF_26"/>
      <w:r w:rsidRPr="003242B5">
        <w:t xml:space="preserve">Maltby, T. (2011), Extending Working Lives? Employability, Work Ability and Better Quality Working Lives. </w:t>
      </w:r>
      <w:r w:rsidRPr="003242B5">
        <w:rPr>
          <w:i/>
        </w:rPr>
        <w:t>Social Policy and Society,</w:t>
      </w:r>
      <w:r w:rsidRPr="003242B5">
        <w:t xml:space="preserve"> 10, 3: 299-308.</w:t>
      </w:r>
      <w:bookmarkEnd w:id="28"/>
    </w:p>
    <w:p w14:paraId="63BE0E41" w14:textId="77777777" w:rsidR="003242B5" w:rsidRPr="003242B5" w:rsidRDefault="003242B5" w:rsidP="003242B5">
      <w:pPr>
        <w:pStyle w:val="EndNoteBibliography"/>
        <w:spacing w:after="0"/>
        <w:ind w:left="720" w:hanging="720"/>
      </w:pPr>
      <w:bookmarkStart w:id="29" w:name="_ENREF_27"/>
      <w:r w:rsidRPr="003242B5">
        <w:t xml:space="preserve">Manderbacka, K. (1998), How do respondents understand survey questions on ill-health? </w:t>
      </w:r>
      <w:r w:rsidRPr="003242B5">
        <w:rPr>
          <w:i/>
        </w:rPr>
        <w:t>European Journal of Public Health,</w:t>
      </w:r>
      <w:r w:rsidRPr="003242B5">
        <w:t xml:space="preserve"> 8, 4: 319-324.</w:t>
      </w:r>
      <w:bookmarkEnd w:id="29"/>
    </w:p>
    <w:p w14:paraId="165B0F61" w14:textId="77777777" w:rsidR="003242B5" w:rsidRPr="003242B5" w:rsidRDefault="003242B5" w:rsidP="003242B5">
      <w:pPr>
        <w:pStyle w:val="EndNoteBibliography"/>
        <w:spacing w:after="0"/>
        <w:ind w:left="720" w:hanging="720"/>
      </w:pPr>
      <w:bookmarkStart w:id="30" w:name="_ENREF_28"/>
      <w:r w:rsidRPr="003242B5">
        <w:t xml:space="preserve">Maxwell, J. A. (2004), Using Qualitative Methods for Causal Explanation. </w:t>
      </w:r>
      <w:r w:rsidRPr="003242B5">
        <w:rPr>
          <w:i/>
        </w:rPr>
        <w:t>Field Methods,</w:t>
      </w:r>
      <w:r w:rsidRPr="003242B5">
        <w:t xml:space="preserve"> 16, 3: 243-264.</w:t>
      </w:r>
      <w:bookmarkEnd w:id="30"/>
    </w:p>
    <w:p w14:paraId="7A4CD135" w14:textId="77777777" w:rsidR="003242B5" w:rsidRPr="003242B5" w:rsidRDefault="003242B5" w:rsidP="003242B5">
      <w:pPr>
        <w:pStyle w:val="EndNoteBibliography"/>
        <w:spacing w:after="0"/>
        <w:ind w:left="720" w:hanging="720"/>
      </w:pPr>
      <w:bookmarkStart w:id="31" w:name="_ENREF_29"/>
      <w:r w:rsidRPr="003242B5">
        <w:t xml:space="preserve">McQuaid, R. W. &amp; Lindsay, C. (2005), The Concept of Employability. </w:t>
      </w:r>
      <w:r w:rsidRPr="003242B5">
        <w:rPr>
          <w:i/>
        </w:rPr>
        <w:t>Urban Studies,</w:t>
      </w:r>
      <w:r w:rsidRPr="003242B5">
        <w:t xml:space="preserve"> 42, 2: 197-219.</w:t>
      </w:r>
      <w:bookmarkEnd w:id="31"/>
    </w:p>
    <w:p w14:paraId="79DF3050" w14:textId="77777777" w:rsidR="003242B5" w:rsidRPr="003242B5" w:rsidRDefault="003242B5" w:rsidP="003242B5">
      <w:pPr>
        <w:pStyle w:val="EndNoteBibliography"/>
        <w:spacing w:after="0"/>
        <w:ind w:left="720" w:hanging="720"/>
      </w:pPr>
      <w:bookmarkStart w:id="32" w:name="_ENREF_30"/>
      <w:r w:rsidRPr="003242B5">
        <w:t xml:space="preserve">McVicar, D. (2006), Why do disability benefit rolls vary between regions? A review of the evidence from the USA and the UK </w:t>
      </w:r>
      <w:r w:rsidRPr="003242B5">
        <w:rPr>
          <w:i/>
        </w:rPr>
        <w:t>Regional Studies,</w:t>
      </w:r>
      <w:r w:rsidRPr="003242B5">
        <w:t xml:space="preserve"> 40, 5: 519-533.</w:t>
      </w:r>
      <w:bookmarkEnd w:id="32"/>
    </w:p>
    <w:p w14:paraId="7048B14E" w14:textId="77777777" w:rsidR="003242B5" w:rsidRPr="003242B5" w:rsidRDefault="003242B5" w:rsidP="003242B5">
      <w:pPr>
        <w:pStyle w:val="EndNoteBibliography"/>
        <w:spacing w:after="0"/>
        <w:ind w:left="720" w:hanging="720"/>
      </w:pPr>
      <w:bookmarkStart w:id="33" w:name="_ENREF_31"/>
      <w:r w:rsidRPr="003242B5">
        <w:t>McVicar, D. (2009), Local level incapacity benefits rolls in Britain: correlates and convergence. Belfast, Queen's University School of Management, Queen's University Belfast.</w:t>
      </w:r>
      <w:bookmarkEnd w:id="33"/>
    </w:p>
    <w:p w14:paraId="68B14DEF" w14:textId="77777777" w:rsidR="003242B5" w:rsidRPr="003242B5" w:rsidRDefault="003242B5" w:rsidP="003242B5">
      <w:pPr>
        <w:pStyle w:val="EndNoteBibliography"/>
        <w:spacing w:after="0"/>
        <w:ind w:left="720" w:hanging="720"/>
      </w:pPr>
      <w:bookmarkStart w:id="34" w:name="_ENREF_32"/>
      <w:r w:rsidRPr="003242B5">
        <w:t>OECD (2003), Transforming Disability into Ability: Policies to Promote Work and Income Security for Disabled People. Paris, OECD.</w:t>
      </w:r>
      <w:bookmarkEnd w:id="34"/>
    </w:p>
    <w:p w14:paraId="4682445A" w14:textId="77777777" w:rsidR="003242B5" w:rsidRPr="003242B5" w:rsidRDefault="003242B5" w:rsidP="003242B5">
      <w:pPr>
        <w:pStyle w:val="EndNoteBibliography"/>
        <w:spacing w:after="0"/>
        <w:ind w:left="720" w:hanging="720"/>
      </w:pPr>
      <w:bookmarkStart w:id="35" w:name="_ENREF_33"/>
      <w:r w:rsidRPr="003242B5">
        <w:t>OECD (2010), Sickness, Disability and Work: breaking the barriers.  A synthesis of findings across OECD countries. Paris, OECD.</w:t>
      </w:r>
      <w:bookmarkEnd w:id="35"/>
    </w:p>
    <w:p w14:paraId="42CAF763" w14:textId="77777777" w:rsidR="003242B5" w:rsidRPr="003242B5" w:rsidRDefault="003242B5" w:rsidP="003242B5">
      <w:pPr>
        <w:pStyle w:val="EndNoteBibliography"/>
        <w:spacing w:after="0"/>
        <w:ind w:left="720" w:hanging="720"/>
      </w:pPr>
      <w:bookmarkStart w:id="36" w:name="_ENREF_34"/>
      <w:r w:rsidRPr="003242B5">
        <w:t xml:space="preserve">Østby, K., Ørstavik, R., Knudsen, A., Reichborn-Kjennerud, T. &amp; Mykletun, A. (2011), Health problems account for a small part of the association between socioeconomic status and disability pension award. Results from the Hordaland Health Study. </w:t>
      </w:r>
      <w:r w:rsidRPr="003242B5">
        <w:rPr>
          <w:i/>
        </w:rPr>
        <w:t>BMC Public Health,</w:t>
      </w:r>
      <w:r w:rsidRPr="003242B5">
        <w:t xml:space="preserve"> 11: 12.</w:t>
      </w:r>
      <w:bookmarkEnd w:id="36"/>
    </w:p>
    <w:p w14:paraId="2C42D155" w14:textId="77777777" w:rsidR="003242B5" w:rsidRPr="003242B5" w:rsidRDefault="003242B5" w:rsidP="003242B5">
      <w:pPr>
        <w:pStyle w:val="EndNoteBibliography"/>
        <w:spacing w:after="0"/>
        <w:ind w:left="720" w:hanging="720"/>
      </w:pPr>
      <w:bookmarkStart w:id="37" w:name="_ENREF_35"/>
      <w:r w:rsidRPr="003242B5">
        <w:t xml:space="preserve">Palmer, K. &amp; Cox, R. (2007), A general framework for assessing fitness for work. In: K. Palmer, R. Cox &amp; I. Brown (eds), </w:t>
      </w:r>
      <w:r w:rsidRPr="003242B5">
        <w:rPr>
          <w:i/>
        </w:rPr>
        <w:t>Fitness for work: the medical aspects, 4th edition</w:t>
      </w:r>
      <w:r w:rsidRPr="003242B5">
        <w:t>, Oxford, Oxford UP. pp. 1-20.</w:t>
      </w:r>
      <w:bookmarkEnd w:id="37"/>
    </w:p>
    <w:p w14:paraId="045CC850" w14:textId="77777777" w:rsidR="003242B5" w:rsidRPr="003242B5" w:rsidRDefault="003242B5" w:rsidP="003242B5">
      <w:pPr>
        <w:pStyle w:val="EndNoteBibliography"/>
        <w:spacing w:after="0"/>
        <w:ind w:left="720" w:hanging="720"/>
      </w:pPr>
      <w:bookmarkStart w:id="38" w:name="_ENREF_36"/>
      <w:r w:rsidRPr="003242B5">
        <w:t xml:space="preserve">Ritchie, J. &amp; Lewis, J. (2003) </w:t>
      </w:r>
      <w:r w:rsidRPr="003242B5">
        <w:rPr>
          <w:i/>
        </w:rPr>
        <w:t xml:space="preserve">Qualitative research practice: a guide for social science students and researchers, </w:t>
      </w:r>
      <w:r w:rsidRPr="003242B5">
        <w:t>SAGE, London.</w:t>
      </w:r>
      <w:bookmarkEnd w:id="38"/>
    </w:p>
    <w:p w14:paraId="43136849" w14:textId="77777777" w:rsidR="003242B5" w:rsidRPr="003242B5" w:rsidRDefault="003242B5" w:rsidP="003242B5">
      <w:pPr>
        <w:pStyle w:val="EndNoteBibliography"/>
        <w:spacing w:after="0"/>
        <w:ind w:left="720" w:hanging="720"/>
      </w:pPr>
      <w:bookmarkStart w:id="39" w:name="_ENREF_37"/>
      <w:r w:rsidRPr="003242B5">
        <w:t xml:space="preserve">Sainsbury, R. &amp; Davidson, J. (2006), Routes onto incapacity benefits: Findings from qualitative research. </w:t>
      </w:r>
      <w:r w:rsidRPr="003242B5">
        <w:rPr>
          <w:i/>
        </w:rPr>
        <w:t>Department for Work and Pensions Research Report No 350</w:t>
      </w:r>
      <w:r w:rsidRPr="003242B5">
        <w:t>, Leeds, Corporate Document Services.</w:t>
      </w:r>
      <w:bookmarkEnd w:id="39"/>
    </w:p>
    <w:p w14:paraId="097AE56D" w14:textId="77777777" w:rsidR="003242B5" w:rsidRPr="003242B5" w:rsidRDefault="003242B5" w:rsidP="003242B5">
      <w:pPr>
        <w:pStyle w:val="EndNoteBibliography"/>
        <w:spacing w:after="0"/>
        <w:ind w:left="720" w:hanging="720"/>
      </w:pPr>
      <w:bookmarkStart w:id="40" w:name="_ENREF_38"/>
      <w:r w:rsidRPr="003242B5">
        <w:t xml:space="preserve">Sainsbury, R., Irvine, A., Aston, J., Wilson, S., Williams, C. &amp; Sinclair, A. (2008), Mental health and employment. </w:t>
      </w:r>
      <w:r w:rsidRPr="003242B5">
        <w:rPr>
          <w:i/>
        </w:rPr>
        <w:t>Department for Work and Pensions Research Report No 513</w:t>
      </w:r>
      <w:r w:rsidRPr="003242B5">
        <w:t>.</w:t>
      </w:r>
      <w:bookmarkEnd w:id="40"/>
    </w:p>
    <w:p w14:paraId="5FB09B4F" w14:textId="77777777" w:rsidR="003242B5" w:rsidRPr="003242B5" w:rsidRDefault="003242B5" w:rsidP="003242B5">
      <w:pPr>
        <w:pStyle w:val="EndNoteBibliography"/>
        <w:spacing w:after="0"/>
        <w:ind w:left="720" w:hanging="720"/>
      </w:pPr>
      <w:bookmarkStart w:id="41" w:name="_ENREF_39"/>
      <w:r w:rsidRPr="003242B5">
        <w:t xml:space="preserve">van den Berg, T. I. J., Elders, L. A. M., De Zwart, B. &amp; Burdorf, A. (2009), The effects of work-related and individual factors on the Work Ability Index: a systematic review. </w:t>
      </w:r>
      <w:r w:rsidRPr="003242B5">
        <w:rPr>
          <w:i/>
        </w:rPr>
        <w:t>Occupational and Environmental Medicine,</w:t>
      </w:r>
      <w:r w:rsidRPr="003242B5">
        <w:t xml:space="preserve"> 66: 211-220.</w:t>
      </w:r>
      <w:bookmarkEnd w:id="41"/>
    </w:p>
    <w:p w14:paraId="39D31DC5" w14:textId="77777777" w:rsidR="003242B5" w:rsidRPr="003242B5" w:rsidRDefault="003242B5" w:rsidP="003242B5">
      <w:pPr>
        <w:pStyle w:val="EndNoteBibliography"/>
        <w:spacing w:after="0"/>
        <w:ind w:left="720" w:hanging="720"/>
      </w:pPr>
      <w:bookmarkStart w:id="42" w:name="_ENREF_40"/>
      <w:r w:rsidRPr="003242B5">
        <w:t xml:space="preserve">van Oorschot, W. (2006), Making the difference in social Europe: deservingness perceptions among citizens of European welfare states. </w:t>
      </w:r>
      <w:r w:rsidRPr="003242B5">
        <w:rPr>
          <w:i/>
        </w:rPr>
        <w:t>Journal of European Social Policy,</w:t>
      </w:r>
      <w:r w:rsidRPr="003242B5">
        <w:t xml:space="preserve"> 16, 1: 23-42.</w:t>
      </w:r>
      <w:bookmarkEnd w:id="42"/>
    </w:p>
    <w:p w14:paraId="2B8EBAE4" w14:textId="77777777" w:rsidR="003242B5" w:rsidRPr="003242B5" w:rsidRDefault="003242B5" w:rsidP="003242B5">
      <w:pPr>
        <w:pStyle w:val="EndNoteBibliography"/>
        <w:spacing w:after="0"/>
        <w:ind w:left="720" w:hanging="720"/>
      </w:pPr>
      <w:bookmarkStart w:id="43" w:name="_ENREF_41"/>
      <w:r w:rsidRPr="003242B5">
        <w:t xml:space="preserve">Wade, D. T. &amp; Halligan, P. W. (2004), Do biomedical models of illness make for good healthcare systems? </w:t>
      </w:r>
      <w:r w:rsidRPr="003242B5">
        <w:rPr>
          <w:i/>
        </w:rPr>
        <w:t>BMJ,</w:t>
      </w:r>
      <w:r w:rsidRPr="003242B5">
        <w:t xml:space="preserve"> 329, 7479: 1398-1401.</w:t>
      </w:r>
      <w:bookmarkEnd w:id="43"/>
    </w:p>
    <w:p w14:paraId="0F39112B" w14:textId="77777777" w:rsidR="003242B5" w:rsidRPr="003242B5" w:rsidRDefault="003242B5" w:rsidP="003242B5">
      <w:pPr>
        <w:pStyle w:val="EndNoteBibliography"/>
        <w:ind w:left="720" w:hanging="720"/>
      </w:pPr>
      <w:bookmarkStart w:id="44" w:name="_ENREF_42"/>
      <w:r w:rsidRPr="003242B5">
        <w:t xml:space="preserve">Wilton, R. D. (2008), Workers with disabilities and the challenges of emotional labour. </w:t>
      </w:r>
      <w:r w:rsidRPr="003242B5">
        <w:rPr>
          <w:i/>
        </w:rPr>
        <w:t>Disability &amp; Society,</w:t>
      </w:r>
      <w:r w:rsidRPr="003242B5">
        <w:t xml:space="preserve"> 23, 4: 361-373.</w:t>
      </w:r>
      <w:bookmarkEnd w:id="44"/>
    </w:p>
    <w:p w14:paraId="506AD104" w14:textId="4DB0B5BE" w:rsidR="00A779BE" w:rsidRDefault="00390DAE" w:rsidP="00947E73">
      <w:pPr>
        <w:spacing w:line="480" w:lineRule="auto"/>
      </w:pPr>
      <w:r>
        <w:fldChar w:fldCharType="end"/>
      </w:r>
    </w:p>
    <w:sectPr w:rsidR="00A779BE" w:rsidSect="00DE16FC">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18C803" w15:done="0"/>
  <w15:commentEx w15:paraId="3CC962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9D1D8" w14:textId="77777777" w:rsidR="000B28B0" w:rsidRDefault="000B28B0" w:rsidP="00B771B9">
      <w:pPr>
        <w:spacing w:after="0" w:line="240" w:lineRule="auto"/>
      </w:pPr>
      <w:r>
        <w:separator/>
      </w:r>
    </w:p>
  </w:endnote>
  <w:endnote w:type="continuationSeparator" w:id="0">
    <w:p w14:paraId="658EC151" w14:textId="77777777" w:rsidR="000B28B0" w:rsidRDefault="000B28B0" w:rsidP="00B77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117662"/>
      <w:docPartObj>
        <w:docPartGallery w:val="Page Numbers (Bottom of Page)"/>
        <w:docPartUnique/>
      </w:docPartObj>
    </w:sdtPr>
    <w:sdtEndPr>
      <w:rPr>
        <w:i/>
        <w:noProof/>
        <w:sz w:val="20"/>
      </w:rPr>
    </w:sdtEndPr>
    <w:sdtContent>
      <w:p w14:paraId="38122A6E" w14:textId="64BFA6E6" w:rsidR="005C3DF5" w:rsidRPr="006A0917" w:rsidRDefault="005C3DF5">
        <w:pPr>
          <w:pStyle w:val="Footer"/>
          <w:jc w:val="center"/>
          <w:rPr>
            <w:i/>
            <w:sz w:val="20"/>
          </w:rPr>
        </w:pPr>
        <w:r w:rsidRPr="006A0917">
          <w:rPr>
            <w:i/>
            <w:sz w:val="20"/>
          </w:rPr>
          <w:t xml:space="preserve">Page </w:t>
        </w:r>
        <w:r w:rsidRPr="006A0917">
          <w:rPr>
            <w:i/>
            <w:sz w:val="20"/>
          </w:rPr>
          <w:fldChar w:fldCharType="begin"/>
        </w:r>
        <w:r w:rsidRPr="006A0917">
          <w:rPr>
            <w:i/>
            <w:sz w:val="20"/>
          </w:rPr>
          <w:instrText xml:space="preserve"> PAGE   \* MERGEFORMAT </w:instrText>
        </w:r>
        <w:r w:rsidRPr="006A0917">
          <w:rPr>
            <w:i/>
            <w:sz w:val="20"/>
          </w:rPr>
          <w:fldChar w:fldCharType="separate"/>
        </w:r>
        <w:r w:rsidR="00FA2B60">
          <w:rPr>
            <w:i/>
            <w:noProof/>
            <w:sz w:val="20"/>
          </w:rPr>
          <w:t>1</w:t>
        </w:r>
        <w:r w:rsidRPr="006A0917">
          <w:rPr>
            <w:i/>
            <w:noProof/>
            <w:sz w:val="20"/>
          </w:rPr>
          <w:fldChar w:fldCharType="end"/>
        </w:r>
      </w:p>
    </w:sdtContent>
  </w:sdt>
  <w:p w14:paraId="499BD9E8" w14:textId="77777777" w:rsidR="005C3DF5" w:rsidRDefault="005C3D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7B66A" w14:textId="77777777" w:rsidR="000B28B0" w:rsidRDefault="000B28B0" w:rsidP="00B771B9">
      <w:pPr>
        <w:spacing w:after="0" w:line="240" w:lineRule="auto"/>
      </w:pPr>
      <w:r>
        <w:separator/>
      </w:r>
    </w:p>
  </w:footnote>
  <w:footnote w:type="continuationSeparator" w:id="0">
    <w:p w14:paraId="4F2DA7B6" w14:textId="77777777" w:rsidR="000B28B0" w:rsidRDefault="000B28B0" w:rsidP="00B771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5F8"/>
    <w:multiLevelType w:val="hybridMultilevel"/>
    <w:tmpl w:val="C8CE1C9A"/>
    <w:lvl w:ilvl="0" w:tplc="C7768F6C">
      <w:start w:val="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E52960"/>
    <w:multiLevelType w:val="hybridMultilevel"/>
    <w:tmpl w:val="6630CE0C"/>
    <w:lvl w:ilvl="0" w:tplc="86B6873A">
      <w:start w:val="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FE0DBA"/>
    <w:multiLevelType w:val="hybridMultilevel"/>
    <w:tmpl w:val="9F7E126A"/>
    <w:lvl w:ilvl="0" w:tplc="A8240DA2">
      <w:start w:val="1"/>
      <w:numFmt w:val="bullet"/>
      <w:lvlText w:val="•"/>
      <w:lvlJc w:val="left"/>
      <w:pPr>
        <w:tabs>
          <w:tab w:val="num" w:pos="720"/>
        </w:tabs>
        <w:ind w:left="720" w:hanging="360"/>
      </w:pPr>
      <w:rPr>
        <w:rFonts w:ascii="Arial" w:hAnsi="Arial" w:hint="default"/>
      </w:rPr>
    </w:lvl>
    <w:lvl w:ilvl="1" w:tplc="7646B82C" w:tentative="1">
      <w:start w:val="1"/>
      <w:numFmt w:val="bullet"/>
      <w:lvlText w:val="•"/>
      <w:lvlJc w:val="left"/>
      <w:pPr>
        <w:tabs>
          <w:tab w:val="num" w:pos="1440"/>
        </w:tabs>
        <w:ind w:left="1440" w:hanging="360"/>
      </w:pPr>
      <w:rPr>
        <w:rFonts w:ascii="Arial" w:hAnsi="Arial" w:hint="default"/>
      </w:rPr>
    </w:lvl>
    <w:lvl w:ilvl="2" w:tplc="F2BA7BA2" w:tentative="1">
      <w:start w:val="1"/>
      <w:numFmt w:val="bullet"/>
      <w:lvlText w:val="•"/>
      <w:lvlJc w:val="left"/>
      <w:pPr>
        <w:tabs>
          <w:tab w:val="num" w:pos="2160"/>
        </w:tabs>
        <w:ind w:left="2160" w:hanging="360"/>
      </w:pPr>
      <w:rPr>
        <w:rFonts w:ascii="Arial" w:hAnsi="Arial" w:hint="default"/>
      </w:rPr>
    </w:lvl>
    <w:lvl w:ilvl="3" w:tplc="73B2ED64" w:tentative="1">
      <w:start w:val="1"/>
      <w:numFmt w:val="bullet"/>
      <w:lvlText w:val="•"/>
      <w:lvlJc w:val="left"/>
      <w:pPr>
        <w:tabs>
          <w:tab w:val="num" w:pos="2880"/>
        </w:tabs>
        <w:ind w:left="2880" w:hanging="360"/>
      </w:pPr>
      <w:rPr>
        <w:rFonts w:ascii="Arial" w:hAnsi="Arial" w:hint="default"/>
      </w:rPr>
    </w:lvl>
    <w:lvl w:ilvl="4" w:tplc="9A2E5998" w:tentative="1">
      <w:start w:val="1"/>
      <w:numFmt w:val="bullet"/>
      <w:lvlText w:val="•"/>
      <w:lvlJc w:val="left"/>
      <w:pPr>
        <w:tabs>
          <w:tab w:val="num" w:pos="3600"/>
        </w:tabs>
        <w:ind w:left="3600" w:hanging="360"/>
      </w:pPr>
      <w:rPr>
        <w:rFonts w:ascii="Arial" w:hAnsi="Arial" w:hint="default"/>
      </w:rPr>
    </w:lvl>
    <w:lvl w:ilvl="5" w:tplc="6D68AB92" w:tentative="1">
      <w:start w:val="1"/>
      <w:numFmt w:val="bullet"/>
      <w:lvlText w:val="•"/>
      <w:lvlJc w:val="left"/>
      <w:pPr>
        <w:tabs>
          <w:tab w:val="num" w:pos="4320"/>
        </w:tabs>
        <w:ind w:left="4320" w:hanging="360"/>
      </w:pPr>
      <w:rPr>
        <w:rFonts w:ascii="Arial" w:hAnsi="Arial" w:hint="default"/>
      </w:rPr>
    </w:lvl>
    <w:lvl w:ilvl="6" w:tplc="B290AE94" w:tentative="1">
      <w:start w:val="1"/>
      <w:numFmt w:val="bullet"/>
      <w:lvlText w:val="•"/>
      <w:lvlJc w:val="left"/>
      <w:pPr>
        <w:tabs>
          <w:tab w:val="num" w:pos="5040"/>
        </w:tabs>
        <w:ind w:left="5040" w:hanging="360"/>
      </w:pPr>
      <w:rPr>
        <w:rFonts w:ascii="Arial" w:hAnsi="Arial" w:hint="default"/>
      </w:rPr>
    </w:lvl>
    <w:lvl w:ilvl="7" w:tplc="0B40F4C8" w:tentative="1">
      <w:start w:val="1"/>
      <w:numFmt w:val="bullet"/>
      <w:lvlText w:val="•"/>
      <w:lvlJc w:val="left"/>
      <w:pPr>
        <w:tabs>
          <w:tab w:val="num" w:pos="5760"/>
        </w:tabs>
        <w:ind w:left="5760" w:hanging="360"/>
      </w:pPr>
      <w:rPr>
        <w:rFonts w:ascii="Arial" w:hAnsi="Arial" w:hint="default"/>
      </w:rPr>
    </w:lvl>
    <w:lvl w:ilvl="8" w:tplc="42A28F88" w:tentative="1">
      <w:start w:val="1"/>
      <w:numFmt w:val="bullet"/>
      <w:lvlText w:val="•"/>
      <w:lvlJc w:val="left"/>
      <w:pPr>
        <w:tabs>
          <w:tab w:val="num" w:pos="6480"/>
        </w:tabs>
        <w:ind w:left="6480" w:hanging="360"/>
      </w:pPr>
      <w:rPr>
        <w:rFonts w:ascii="Arial" w:hAnsi="Arial" w:hint="default"/>
      </w:rPr>
    </w:lvl>
  </w:abstractNum>
  <w:abstractNum w:abstractNumId="3">
    <w:nsid w:val="2A88596F"/>
    <w:multiLevelType w:val="hybridMultilevel"/>
    <w:tmpl w:val="CE4838A6"/>
    <w:lvl w:ilvl="0" w:tplc="34168F2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D21C2D"/>
    <w:multiLevelType w:val="multilevel"/>
    <w:tmpl w:val="FCC0FF96"/>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5">
    <w:nsid w:val="35F70FC5"/>
    <w:multiLevelType w:val="hybridMultilevel"/>
    <w:tmpl w:val="41443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D7A2193"/>
    <w:multiLevelType w:val="hybridMultilevel"/>
    <w:tmpl w:val="D3FCF7D8"/>
    <w:lvl w:ilvl="0" w:tplc="3C285798">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BE6974"/>
    <w:multiLevelType w:val="hybridMultilevel"/>
    <w:tmpl w:val="86947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EA0288F"/>
    <w:multiLevelType w:val="hybridMultilevel"/>
    <w:tmpl w:val="A96AFC00"/>
    <w:lvl w:ilvl="0" w:tplc="09DCB40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063D02"/>
    <w:multiLevelType w:val="hybridMultilevel"/>
    <w:tmpl w:val="B5E6B266"/>
    <w:lvl w:ilvl="0" w:tplc="9078E07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4214393"/>
    <w:multiLevelType w:val="hybridMultilevel"/>
    <w:tmpl w:val="A204E286"/>
    <w:lvl w:ilvl="0" w:tplc="4A0C079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6DF75C2"/>
    <w:multiLevelType w:val="hybridMultilevel"/>
    <w:tmpl w:val="A0767E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050629"/>
    <w:multiLevelType w:val="hybridMultilevel"/>
    <w:tmpl w:val="1B528A82"/>
    <w:lvl w:ilvl="0" w:tplc="5044B7F0">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F5A404F"/>
    <w:multiLevelType w:val="hybridMultilevel"/>
    <w:tmpl w:val="E80CAF72"/>
    <w:lvl w:ilvl="0" w:tplc="A74CB45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77E090C"/>
    <w:multiLevelType w:val="hybridMultilevel"/>
    <w:tmpl w:val="5C4E972C"/>
    <w:lvl w:ilvl="0" w:tplc="686C7B4A">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FCD4DFB"/>
    <w:multiLevelType w:val="hybridMultilevel"/>
    <w:tmpl w:val="56427E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04B2AF8"/>
    <w:multiLevelType w:val="hybridMultilevel"/>
    <w:tmpl w:val="388E0E2E"/>
    <w:lvl w:ilvl="0" w:tplc="6650A55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4360A06"/>
    <w:multiLevelType w:val="hybridMultilevel"/>
    <w:tmpl w:val="526C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B6072B5"/>
    <w:multiLevelType w:val="hybridMultilevel"/>
    <w:tmpl w:val="3A9E2956"/>
    <w:lvl w:ilvl="0" w:tplc="680627EA">
      <w:numFmt w:val="bullet"/>
      <w:lvlText w:val="-"/>
      <w:lvlJc w:val="left"/>
      <w:pPr>
        <w:ind w:left="720" w:hanging="360"/>
      </w:pPr>
      <w:rPr>
        <w:rFonts w:ascii="Arial" w:eastAsia="Times New Roman" w:hAnsi="Arial" w:cs="Aria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51C6891C">
      <w:start w:val="1"/>
      <w:numFmt w:val="lowerRoman"/>
      <w:lvlText w:val="%4."/>
      <w:lvlJc w:val="left"/>
      <w:pPr>
        <w:ind w:left="3240" w:hanging="72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F2F79B4"/>
    <w:multiLevelType w:val="hybridMultilevel"/>
    <w:tmpl w:val="A70600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0"/>
  </w:num>
  <w:num w:numId="5">
    <w:abstractNumId w:val="2"/>
  </w:num>
  <w:num w:numId="6">
    <w:abstractNumId w:val="1"/>
  </w:num>
  <w:num w:numId="7">
    <w:abstractNumId w:val="13"/>
  </w:num>
  <w:num w:numId="8">
    <w:abstractNumId w:val="7"/>
  </w:num>
  <w:num w:numId="9">
    <w:abstractNumId w:val="11"/>
  </w:num>
  <w:num w:numId="10">
    <w:abstractNumId w:val="17"/>
  </w:num>
  <w:num w:numId="11">
    <w:abstractNumId w:val="6"/>
  </w:num>
  <w:num w:numId="12">
    <w:abstractNumId w:val="8"/>
  </w:num>
  <w:num w:numId="13">
    <w:abstractNumId w:val="18"/>
  </w:num>
  <w:num w:numId="14">
    <w:abstractNumId w:val="14"/>
  </w:num>
  <w:num w:numId="15">
    <w:abstractNumId w:val="19"/>
  </w:num>
  <w:num w:numId="16">
    <w:abstractNumId w:val="16"/>
  </w:num>
  <w:num w:numId="17">
    <w:abstractNumId w:val="5"/>
  </w:num>
  <w:num w:numId="18">
    <w:abstractNumId w:val="9"/>
  </w:num>
  <w:num w:numId="19">
    <w:abstractNumId w:val="12"/>
  </w:num>
  <w:num w:numId="20">
    <w:abstractNumId w:val="10"/>
  </w:num>
  <w:num w:numId="21">
    <w:abstractNumId w:val="15"/>
  </w:num>
  <w:num w:numId="2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n Baumberg">
    <w15:presenceInfo w15:providerId="Windows Live" w15:userId="2a1f00819044be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Social Policy Admi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r2ffr5x6st05beff5rper2ax9sw5d9w0vzp&quot;&gt;PhD updated&lt;record-ids&gt;&lt;item&gt;100&lt;/item&gt;&lt;item&gt;143&lt;/item&gt;&lt;item&gt;227&lt;/item&gt;&lt;item&gt;259&lt;/item&gt;&lt;item&gt;263&lt;/item&gt;&lt;item&gt;339&lt;/item&gt;&lt;item&gt;565&lt;/item&gt;&lt;item&gt;679&lt;/item&gt;&lt;item&gt;710&lt;/item&gt;&lt;item&gt;726&lt;/item&gt;&lt;item&gt;731&lt;/item&gt;&lt;item&gt;796&lt;/item&gt;&lt;item&gt;866&lt;/item&gt;&lt;item&gt;1009&lt;/item&gt;&lt;item&gt;1182&lt;/item&gt;&lt;item&gt;1184&lt;/item&gt;&lt;item&gt;1187&lt;/item&gt;&lt;item&gt;1204&lt;/item&gt;&lt;item&gt;1205&lt;/item&gt;&lt;item&gt;1207&lt;/item&gt;&lt;item&gt;1219&lt;/item&gt;&lt;item&gt;1246&lt;/item&gt;&lt;item&gt;1374&lt;/item&gt;&lt;item&gt;1443&lt;/item&gt;&lt;item&gt;1557&lt;/item&gt;&lt;item&gt;1568&lt;/item&gt;&lt;item&gt;1584&lt;/item&gt;&lt;item&gt;1627&lt;/item&gt;&lt;item&gt;1646&lt;/item&gt;&lt;item&gt;1655&lt;/item&gt;&lt;item&gt;1656&lt;/item&gt;&lt;item&gt;1658&lt;/item&gt;&lt;item&gt;1659&lt;/item&gt;&lt;item&gt;1675&lt;/item&gt;&lt;item&gt;1678&lt;/item&gt;&lt;item&gt;1693&lt;/item&gt;&lt;item&gt;1701&lt;/item&gt;&lt;item&gt;1723&lt;/item&gt;&lt;item&gt;1728&lt;/item&gt;&lt;item&gt;1729&lt;/item&gt;&lt;item&gt;1731&lt;/item&gt;&lt;item&gt;1733&lt;/item&gt;&lt;/record-ids&gt;&lt;/item&gt;&lt;/Libraries&gt;"/>
  </w:docVars>
  <w:rsids>
    <w:rsidRoot w:val="00042F7F"/>
    <w:rsid w:val="00006F76"/>
    <w:rsid w:val="00020F26"/>
    <w:rsid w:val="00032073"/>
    <w:rsid w:val="0003345C"/>
    <w:rsid w:val="00033E78"/>
    <w:rsid w:val="00042891"/>
    <w:rsid w:val="00042F7F"/>
    <w:rsid w:val="000567A5"/>
    <w:rsid w:val="000629DE"/>
    <w:rsid w:val="00064740"/>
    <w:rsid w:val="00065AF6"/>
    <w:rsid w:val="00067A0B"/>
    <w:rsid w:val="00074229"/>
    <w:rsid w:val="0008395D"/>
    <w:rsid w:val="000867B7"/>
    <w:rsid w:val="00086CEB"/>
    <w:rsid w:val="00087394"/>
    <w:rsid w:val="000928C9"/>
    <w:rsid w:val="00097A6E"/>
    <w:rsid w:val="000A0A6B"/>
    <w:rsid w:val="000A1529"/>
    <w:rsid w:val="000A4978"/>
    <w:rsid w:val="000A79E1"/>
    <w:rsid w:val="000B28B0"/>
    <w:rsid w:val="000C4F14"/>
    <w:rsid w:val="000D06AA"/>
    <w:rsid w:val="000E0348"/>
    <w:rsid w:val="000E0F60"/>
    <w:rsid w:val="000F1B70"/>
    <w:rsid w:val="000F7675"/>
    <w:rsid w:val="000F78AD"/>
    <w:rsid w:val="001110F7"/>
    <w:rsid w:val="001215CC"/>
    <w:rsid w:val="00132610"/>
    <w:rsid w:val="001347F4"/>
    <w:rsid w:val="00134826"/>
    <w:rsid w:val="0014799C"/>
    <w:rsid w:val="00154B8A"/>
    <w:rsid w:val="00156229"/>
    <w:rsid w:val="0017013A"/>
    <w:rsid w:val="00171DC5"/>
    <w:rsid w:val="00180C5A"/>
    <w:rsid w:val="00183A74"/>
    <w:rsid w:val="001952FD"/>
    <w:rsid w:val="00195C1C"/>
    <w:rsid w:val="00195F1D"/>
    <w:rsid w:val="001976C6"/>
    <w:rsid w:val="001A24A9"/>
    <w:rsid w:val="001A62EC"/>
    <w:rsid w:val="001B4018"/>
    <w:rsid w:val="001B675C"/>
    <w:rsid w:val="001C1AA5"/>
    <w:rsid w:val="001C2764"/>
    <w:rsid w:val="001C56DF"/>
    <w:rsid w:val="001D18FC"/>
    <w:rsid w:val="001D4A1D"/>
    <w:rsid w:val="001D591A"/>
    <w:rsid w:val="001D7C0B"/>
    <w:rsid w:val="001E0738"/>
    <w:rsid w:val="001E2CFA"/>
    <w:rsid w:val="001E3E5F"/>
    <w:rsid w:val="001E4CC6"/>
    <w:rsid w:val="001F6697"/>
    <w:rsid w:val="00206201"/>
    <w:rsid w:val="00210D9D"/>
    <w:rsid w:val="0021597F"/>
    <w:rsid w:val="00216073"/>
    <w:rsid w:val="002278D5"/>
    <w:rsid w:val="0025358C"/>
    <w:rsid w:val="00257B46"/>
    <w:rsid w:val="0026360B"/>
    <w:rsid w:val="00272EE7"/>
    <w:rsid w:val="002755A0"/>
    <w:rsid w:val="0028164A"/>
    <w:rsid w:val="00287073"/>
    <w:rsid w:val="002873D3"/>
    <w:rsid w:val="00295957"/>
    <w:rsid w:val="002A682D"/>
    <w:rsid w:val="002A7DAB"/>
    <w:rsid w:val="002C0227"/>
    <w:rsid w:val="002C28A9"/>
    <w:rsid w:val="002C4450"/>
    <w:rsid w:val="002D460B"/>
    <w:rsid w:val="002E35A7"/>
    <w:rsid w:val="002E70CA"/>
    <w:rsid w:val="002F0730"/>
    <w:rsid w:val="002F4832"/>
    <w:rsid w:val="00305273"/>
    <w:rsid w:val="00306633"/>
    <w:rsid w:val="003242B5"/>
    <w:rsid w:val="00332EF2"/>
    <w:rsid w:val="003377A5"/>
    <w:rsid w:val="003410BD"/>
    <w:rsid w:val="00344A08"/>
    <w:rsid w:val="00350212"/>
    <w:rsid w:val="00350528"/>
    <w:rsid w:val="0036192F"/>
    <w:rsid w:val="00375E90"/>
    <w:rsid w:val="00376E7A"/>
    <w:rsid w:val="003774F4"/>
    <w:rsid w:val="00377A1B"/>
    <w:rsid w:val="00382A38"/>
    <w:rsid w:val="00382DB2"/>
    <w:rsid w:val="00385D4C"/>
    <w:rsid w:val="003875EC"/>
    <w:rsid w:val="00390DAE"/>
    <w:rsid w:val="00394AAF"/>
    <w:rsid w:val="00394F8A"/>
    <w:rsid w:val="00395734"/>
    <w:rsid w:val="003959BD"/>
    <w:rsid w:val="003A03E5"/>
    <w:rsid w:val="003A283F"/>
    <w:rsid w:val="003B265B"/>
    <w:rsid w:val="003B40C5"/>
    <w:rsid w:val="003C254D"/>
    <w:rsid w:val="003D58DA"/>
    <w:rsid w:val="003E26A5"/>
    <w:rsid w:val="003E3494"/>
    <w:rsid w:val="003F26AC"/>
    <w:rsid w:val="0040148B"/>
    <w:rsid w:val="00403610"/>
    <w:rsid w:val="004036EB"/>
    <w:rsid w:val="00404CA9"/>
    <w:rsid w:val="0040699C"/>
    <w:rsid w:val="00407E2C"/>
    <w:rsid w:val="004121EF"/>
    <w:rsid w:val="0042077C"/>
    <w:rsid w:val="004237C5"/>
    <w:rsid w:val="00425BAD"/>
    <w:rsid w:val="0042776F"/>
    <w:rsid w:val="0043006C"/>
    <w:rsid w:val="0043161D"/>
    <w:rsid w:val="00443E51"/>
    <w:rsid w:val="00443EE0"/>
    <w:rsid w:val="004451FB"/>
    <w:rsid w:val="0045428C"/>
    <w:rsid w:val="00467E99"/>
    <w:rsid w:val="0047242F"/>
    <w:rsid w:val="00472BB1"/>
    <w:rsid w:val="004736B0"/>
    <w:rsid w:val="00474B3A"/>
    <w:rsid w:val="00497A4D"/>
    <w:rsid w:val="004A0C34"/>
    <w:rsid w:val="004A0E74"/>
    <w:rsid w:val="004A6283"/>
    <w:rsid w:val="004B01A5"/>
    <w:rsid w:val="004B61B8"/>
    <w:rsid w:val="004B7FE0"/>
    <w:rsid w:val="004C668B"/>
    <w:rsid w:val="004D0F20"/>
    <w:rsid w:val="004F16B9"/>
    <w:rsid w:val="004F79BF"/>
    <w:rsid w:val="00503F96"/>
    <w:rsid w:val="00512674"/>
    <w:rsid w:val="00515DBC"/>
    <w:rsid w:val="0052086A"/>
    <w:rsid w:val="00521CC5"/>
    <w:rsid w:val="00523BC2"/>
    <w:rsid w:val="00523C07"/>
    <w:rsid w:val="00524138"/>
    <w:rsid w:val="00527B45"/>
    <w:rsid w:val="00547B55"/>
    <w:rsid w:val="00553A07"/>
    <w:rsid w:val="0059139C"/>
    <w:rsid w:val="00591BE8"/>
    <w:rsid w:val="00596D6C"/>
    <w:rsid w:val="005A7048"/>
    <w:rsid w:val="005B7765"/>
    <w:rsid w:val="005C3DF5"/>
    <w:rsid w:val="005C6ECD"/>
    <w:rsid w:val="005C70CE"/>
    <w:rsid w:val="005D44DD"/>
    <w:rsid w:val="005D6B77"/>
    <w:rsid w:val="005F3FE7"/>
    <w:rsid w:val="0060153E"/>
    <w:rsid w:val="006047ED"/>
    <w:rsid w:val="00614BDF"/>
    <w:rsid w:val="006157B7"/>
    <w:rsid w:val="0062202D"/>
    <w:rsid w:val="00623332"/>
    <w:rsid w:val="00623B94"/>
    <w:rsid w:val="00623EC9"/>
    <w:rsid w:val="00624C07"/>
    <w:rsid w:val="006270D5"/>
    <w:rsid w:val="0063194E"/>
    <w:rsid w:val="00631AA5"/>
    <w:rsid w:val="0063393E"/>
    <w:rsid w:val="00635384"/>
    <w:rsid w:val="00645C2F"/>
    <w:rsid w:val="00645D10"/>
    <w:rsid w:val="006525E9"/>
    <w:rsid w:val="00652E90"/>
    <w:rsid w:val="006640D9"/>
    <w:rsid w:val="00671DE7"/>
    <w:rsid w:val="006833AE"/>
    <w:rsid w:val="0068578C"/>
    <w:rsid w:val="00685CBD"/>
    <w:rsid w:val="006866B3"/>
    <w:rsid w:val="00690FEE"/>
    <w:rsid w:val="00692927"/>
    <w:rsid w:val="006A0917"/>
    <w:rsid w:val="006B0BF0"/>
    <w:rsid w:val="006B1831"/>
    <w:rsid w:val="006B2C92"/>
    <w:rsid w:val="006B70D9"/>
    <w:rsid w:val="006C40E3"/>
    <w:rsid w:val="006C41AC"/>
    <w:rsid w:val="006E0608"/>
    <w:rsid w:val="006E0773"/>
    <w:rsid w:val="006E07F9"/>
    <w:rsid w:val="006F426A"/>
    <w:rsid w:val="006F6877"/>
    <w:rsid w:val="00702977"/>
    <w:rsid w:val="00711D09"/>
    <w:rsid w:val="00712162"/>
    <w:rsid w:val="00713483"/>
    <w:rsid w:val="00713B59"/>
    <w:rsid w:val="007143BE"/>
    <w:rsid w:val="00715378"/>
    <w:rsid w:val="00720E10"/>
    <w:rsid w:val="00721965"/>
    <w:rsid w:val="007450A9"/>
    <w:rsid w:val="00746C92"/>
    <w:rsid w:val="00746DE9"/>
    <w:rsid w:val="00752381"/>
    <w:rsid w:val="00786A36"/>
    <w:rsid w:val="00790EE9"/>
    <w:rsid w:val="00791044"/>
    <w:rsid w:val="0079339E"/>
    <w:rsid w:val="00796D53"/>
    <w:rsid w:val="007A526F"/>
    <w:rsid w:val="007A62E0"/>
    <w:rsid w:val="007B58F3"/>
    <w:rsid w:val="007B7729"/>
    <w:rsid w:val="007D0803"/>
    <w:rsid w:val="007D5F23"/>
    <w:rsid w:val="007E0705"/>
    <w:rsid w:val="007E130C"/>
    <w:rsid w:val="007E4AD0"/>
    <w:rsid w:val="007E57DE"/>
    <w:rsid w:val="007E698F"/>
    <w:rsid w:val="007E6EE2"/>
    <w:rsid w:val="007F168F"/>
    <w:rsid w:val="007F4973"/>
    <w:rsid w:val="00803B7D"/>
    <w:rsid w:val="00805B43"/>
    <w:rsid w:val="008110F7"/>
    <w:rsid w:val="00817B13"/>
    <w:rsid w:val="00821570"/>
    <w:rsid w:val="008276D2"/>
    <w:rsid w:val="00837770"/>
    <w:rsid w:val="008439A8"/>
    <w:rsid w:val="00844ABA"/>
    <w:rsid w:val="0085646F"/>
    <w:rsid w:val="008605A7"/>
    <w:rsid w:val="008611B9"/>
    <w:rsid w:val="008618E8"/>
    <w:rsid w:val="00862E26"/>
    <w:rsid w:val="00863171"/>
    <w:rsid w:val="00874552"/>
    <w:rsid w:val="008760FC"/>
    <w:rsid w:val="00886356"/>
    <w:rsid w:val="00886CD6"/>
    <w:rsid w:val="00892002"/>
    <w:rsid w:val="008B7355"/>
    <w:rsid w:val="008C3C1E"/>
    <w:rsid w:val="008C4F3A"/>
    <w:rsid w:val="008C5EC2"/>
    <w:rsid w:val="008D1C45"/>
    <w:rsid w:val="008D5228"/>
    <w:rsid w:val="008F7510"/>
    <w:rsid w:val="00902233"/>
    <w:rsid w:val="0090361C"/>
    <w:rsid w:val="0091000E"/>
    <w:rsid w:val="0092495B"/>
    <w:rsid w:val="00934AE0"/>
    <w:rsid w:val="0093502D"/>
    <w:rsid w:val="00936BDF"/>
    <w:rsid w:val="00937E50"/>
    <w:rsid w:val="00943AD1"/>
    <w:rsid w:val="00947E73"/>
    <w:rsid w:val="00950725"/>
    <w:rsid w:val="00951BEE"/>
    <w:rsid w:val="009526E4"/>
    <w:rsid w:val="0098415C"/>
    <w:rsid w:val="00991AFD"/>
    <w:rsid w:val="009937D8"/>
    <w:rsid w:val="00995905"/>
    <w:rsid w:val="009A3AD5"/>
    <w:rsid w:val="009A5873"/>
    <w:rsid w:val="009B2506"/>
    <w:rsid w:val="009C25F6"/>
    <w:rsid w:val="009D050C"/>
    <w:rsid w:val="009D0982"/>
    <w:rsid w:val="009D2A76"/>
    <w:rsid w:val="009D593F"/>
    <w:rsid w:val="009F7968"/>
    <w:rsid w:val="00A000BC"/>
    <w:rsid w:val="00A025F7"/>
    <w:rsid w:val="00A03473"/>
    <w:rsid w:val="00A03548"/>
    <w:rsid w:val="00A05529"/>
    <w:rsid w:val="00A12002"/>
    <w:rsid w:val="00A12625"/>
    <w:rsid w:val="00A130DB"/>
    <w:rsid w:val="00A15C68"/>
    <w:rsid w:val="00A2355F"/>
    <w:rsid w:val="00A23950"/>
    <w:rsid w:val="00A33AF4"/>
    <w:rsid w:val="00A3681F"/>
    <w:rsid w:val="00A47D1F"/>
    <w:rsid w:val="00A501FE"/>
    <w:rsid w:val="00A529C0"/>
    <w:rsid w:val="00A562F4"/>
    <w:rsid w:val="00A56A8B"/>
    <w:rsid w:val="00A62326"/>
    <w:rsid w:val="00A6253E"/>
    <w:rsid w:val="00A6566A"/>
    <w:rsid w:val="00A67110"/>
    <w:rsid w:val="00A673B7"/>
    <w:rsid w:val="00A779BE"/>
    <w:rsid w:val="00A839F0"/>
    <w:rsid w:val="00A87496"/>
    <w:rsid w:val="00A957DD"/>
    <w:rsid w:val="00AB26AC"/>
    <w:rsid w:val="00AB4F15"/>
    <w:rsid w:val="00AC300E"/>
    <w:rsid w:val="00AC7C07"/>
    <w:rsid w:val="00AD4AE0"/>
    <w:rsid w:val="00AD7A27"/>
    <w:rsid w:val="00AF1E04"/>
    <w:rsid w:val="00AF2685"/>
    <w:rsid w:val="00AF7BAC"/>
    <w:rsid w:val="00B036FF"/>
    <w:rsid w:val="00B12CD7"/>
    <w:rsid w:val="00B1354B"/>
    <w:rsid w:val="00B276F8"/>
    <w:rsid w:val="00B33EA1"/>
    <w:rsid w:val="00B36FDF"/>
    <w:rsid w:val="00B4364D"/>
    <w:rsid w:val="00B44912"/>
    <w:rsid w:val="00B456FD"/>
    <w:rsid w:val="00B46C3D"/>
    <w:rsid w:val="00B53820"/>
    <w:rsid w:val="00B54E4E"/>
    <w:rsid w:val="00B57564"/>
    <w:rsid w:val="00B66265"/>
    <w:rsid w:val="00B6662C"/>
    <w:rsid w:val="00B66E89"/>
    <w:rsid w:val="00B721A3"/>
    <w:rsid w:val="00B76634"/>
    <w:rsid w:val="00B771B9"/>
    <w:rsid w:val="00B84FFE"/>
    <w:rsid w:val="00B86179"/>
    <w:rsid w:val="00BA54B4"/>
    <w:rsid w:val="00BB09BF"/>
    <w:rsid w:val="00BB1F85"/>
    <w:rsid w:val="00BC5215"/>
    <w:rsid w:val="00BD52E4"/>
    <w:rsid w:val="00BF269A"/>
    <w:rsid w:val="00BF4DDC"/>
    <w:rsid w:val="00C01295"/>
    <w:rsid w:val="00C01D56"/>
    <w:rsid w:val="00C04546"/>
    <w:rsid w:val="00C049CA"/>
    <w:rsid w:val="00C11E12"/>
    <w:rsid w:val="00C211FE"/>
    <w:rsid w:val="00C324C3"/>
    <w:rsid w:val="00C3654D"/>
    <w:rsid w:val="00C43F12"/>
    <w:rsid w:val="00C52D95"/>
    <w:rsid w:val="00C56A63"/>
    <w:rsid w:val="00C63A5F"/>
    <w:rsid w:val="00C66EBA"/>
    <w:rsid w:val="00C672B4"/>
    <w:rsid w:val="00C70478"/>
    <w:rsid w:val="00C705EE"/>
    <w:rsid w:val="00C74744"/>
    <w:rsid w:val="00C82753"/>
    <w:rsid w:val="00C837EF"/>
    <w:rsid w:val="00C8541C"/>
    <w:rsid w:val="00C858C0"/>
    <w:rsid w:val="00C86862"/>
    <w:rsid w:val="00C93EE4"/>
    <w:rsid w:val="00CA62D8"/>
    <w:rsid w:val="00CB03D0"/>
    <w:rsid w:val="00CB261B"/>
    <w:rsid w:val="00CB50C0"/>
    <w:rsid w:val="00CC4214"/>
    <w:rsid w:val="00CC7E2E"/>
    <w:rsid w:val="00CD21BB"/>
    <w:rsid w:val="00CD420D"/>
    <w:rsid w:val="00CE2B0C"/>
    <w:rsid w:val="00CE2E92"/>
    <w:rsid w:val="00CE6DB5"/>
    <w:rsid w:val="00CE777C"/>
    <w:rsid w:val="00CF0444"/>
    <w:rsid w:val="00CF0673"/>
    <w:rsid w:val="00CF6E10"/>
    <w:rsid w:val="00D1225A"/>
    <w:rsid w:val="00D14CD6"/>
    <w:rsid w:val="00D15F47"/>
    <w:rsid w:val="00D25FCA"/>
    <w:rsid w:val="00D32A3A"/>
    <w:rsid w:val="00D32F83"/>
    <w:rsid w:val="00D349C6"/>
    <w:rsid w:val="00D34EA5"/>
    <w:rsid w:val="00D37D23"/>
    <w:rsid w:val="00D40DA7"/>
    <w:rsid w:val="00D4267A"/>
    <w:rsid w:val="00D42990"/>
    <w:rsid w:val="00D43659"/>
    <w:rsid w:val="00D57CEC"/>
    <w:rsid w:val="00D73573"/>
    <w:rsid w:val="00D812A3"/>
    <w:rsid w:val="00D84D1D"/>
    <w:rsid w:val="00D8729F"/>
    <w:rsid w:val="00DA0E3D"/>
    <w:rsid w:val="00DB7431"/>
    <w:rsid w:val="00DD21AA"/>
    <w:rsid w:val="00DE16FC"/>
    <w:rsid w:val="00DF0905"/>
    <w:rsid w:val="00DF39FB"/>
    <w:rsid w:val="00DF3A15"/>
    <w:rsid w:val="00DF4222"/>
    <w:rsid w:val="00DF422C"/>
    <w:rsid w:val="00DF56B2"/>
    <w:rsid w:val="00DF7096"/>
    <w:rsid w:val="00E02240"/>
    <w:rsid w:val="00E0447A"/>
    <w:rsid w:val="00E07A5B"/>
    <w:rsid w:val="00E108A3"/>
    <w:rsid w:val="00E1273C"/>
    <w:rsid w:val="00E12BD8"/>
    <w:rsid w:val="00E14C71"/>
    <w:rsid w:val="00E14C84"/>
    <w:rsid w:val="00E2581E"/>
    <w:rsid w:val="00E30A87"/>
    <w:rsid w:val="00E32EDF"/>
    <w:rsid w:val="00E40E4A"/>
    <w:rsid w:val="00E43E51"/>
    <w:rsid w:val="00E53310"/>
    <w:rsid w:val="00E600F7"/>
    <w:rsid w:val="00E64621"/>
    <w:rsid w:val="00E6591F"/>
    <w:rsid w:val="00E80FE9"/>
    <w:rsid w:val="00E82E94"/>
    <w:rsid w:val="00E836A3"/>
    <w:rsid w:val="00E83A13"/>
    <w:rsid w:val="00E84AF3"/>
    <w:rsid w:val="00E87C2C"/>
    <w:rsid w:val="00EA34CE"/>
    <w:rsid w:val="00EA4064"/>
    <w:rsid w:val="00EA4348"/>
    <w:rsid w:val="00EA58D7"/>
    <w:rsid w:val="00EB2202"/>
    <w:rsid w:val="00EC0671"/>
    <w:rsid w:val="00EC5849"/>
    <w:rsid w:val="00ED1576"/>
    <w:rsid w:val="00ED5277"/>
    <w:rsid w:val="00EE4454"/>
    <w:rsid w:val="00EE7172"/>
    <w:rsid w:val="00EF0614"/>
    <w:rsid w:val="00EF340C"/>
    <w:rsid w:val="00EF34D4"/>
    <w:rsid w:val="00EF40F1"/>
    <w:rsid w:val="00F159ED"/>
    <w:rsid w:val="00F17067"/>
    <w:rsid w:val="00F17A3A"/>
    <w:rsid w:val="00F25A72"/>
    <w:rsid w:val="00F3185E"/>
    <w:rsid w:val="00F33414"/>
    <w:rsid w:val="00F34B78"/>
    <w:rsid w:val="00F3642D"/>
    <w:rsid w:val="00F45630"/>
    <w:rsid w:val="00F47539"/>
    <w:rsid w:val="00F50995"/>
    <w:rsid w:val="00F51E54"/>
    <w:rsid w:val="00F538CE"/>
    <w:rsid w:val="00F607A6"/>
    <w:rsid w:val="00F610C0"/>
    <w:rsid w:val="00F61971"/>
    <w:rsid w:val="00F634D4"/>
    <w:rsid w:val="00F64E00"/>
    <w:rsid w:val="00F64FE4"/>
    <w:rsid w:val="00F6642C"/>
    <w:rsid w:val="00F67C95"/>
    <w:rsid w:val="00F71067"/>
    <w:rsid w:val="00F8649D"/>
    <w:rsid w:val="00F9177D"/>
    <w:rsid w:val="00FA131E"/>
    <w:rsid w:val="00FA13F7"/>
    <w:rsid w:val="00FA2B60"/>
    <w:rsid w:val="00FA2CE8"/>
    <w:rsid w:val="00FA4E95"/>
    <w:rsid w:val="00FA69D4"/>
    <w:rsid w:val="00FB23E2"/>
    <w:rsid w:val="00FB5A1F"/>
    <w:rsid w:val="00FB6E52"/>
    <w:rsid w:val="00FB7F77"/>
    <w:rsid w:val="00FC23A4"/>
    <w:rsid w:val="00FC2A92"/>
    <w:rsid w:val="00FC5132"/>
    <w:rsid w:val="00FC6265"/>
    <w:rsid w:val="00FD26A8"/>
    <w:rsid w:val="00FD649B"/>
    <w:rsid w:val="00FE2EF8"/>
    <w:rsid w:val="00FF3F00"/>
    <w:rsid w:val="00FF7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0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E73"/>
    <w:pPr>
      <w:spacing w:after="360"/>
    </w:pPr>
  </w:style>
  <w:style w:type="paragraph" w:styleId="Heading1">
    <w:name w:val="heading 1"/>
    <w:basedOn w:val="Normal"/>
    <w:next w:val="Normal"/>
    <w:link w:val="Heading1Char"/>
    <w:qFormat/>
    <w:rsid w:val="00947E73"/>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43E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92002"/>
    <w:pPr>
      <w:keepNext/>
      <w:keepLines/>
      <w:spacing w:after="0"/>
      <w:outlineLvl w:val="2"/>
    </w:pPr>
    <w:rPr>
      <w:rFonts w:asciiTheme="majorHAnsi" w:eastAsiaTheme="majorEastAsia" w:hAnsiTheme="majorHAnsi" w:cstheme="majorBidi"/>
      <w:bCs/>
      <w:i/>
    </w:rPr>
  </w:style>
  <w:style w:type="paragraph" w:styleId="Heading4">
    <w:name w:val="heading 4"/>
    <w:basedOn w:val="Normal"/>
    <w:next w:val="Normal"/>
    <w:link w:val="Heading4Char"/>
    <w:uiPriority w:val="9"/>
    <w:unhideWhenUsed/>
    <w:qFormat/>
    <w:rsid w:val="00892002"/>
    <w:pPr>
      <w:keepNext/>
      <w:keepLines/>
      <w:spacing w:after="0"/>
      <w:outlineLvl w:val="3"/>
    </w:pPr>
    <w:rPr>
      <w:rFonts w:asciiTheme="majorHAnsi" w:eastAsiaTheme="majorEastAsia" w:hAnsiTheme="majorHAnsi" w:cstheme="majorBidi"/>
      <w:bCs/>
      <w:iCs/>
    </w:rPr>
  </w:style>
  <w:style w:type="paragraph" w:styleId="Heading5">
    <w:name w:val="heading 5"/>
    <w:basedOn w:val="Normal"/>
    <w:next w:val="Normal"/>
    <w:link w:val="Heading5Char"/>
    <w:uiPriority w:val="9"/>
    <w:semiHidden/>
    <w:unhideWhenUsed/>
    <w:qFormat/>
    <w:rsid w:val="00443E5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3E5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43E5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43E5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43E5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2002"/>
    <w:rPr>
      <w:rFonts w:asciiTheme="majorHAnsi" w:eastAsiaTheme="majorEastAsia" w:hAnsiTheme="majorHAnsi" w:cstheme="majorBidi"/>
      <w:bCs/>
      <w:i/>
    </w:rPr>
  </w:style>
  <w:style w:type="character" w:customStyle="1" w:styleId="Heading4Char">
    <w:name w:val="Heading 4 Char"/>
    <w:basedOn w:val="DefaultParagraphFont"/>
    <w:link w:val="Heading4"/>
    <w:uiPriority w:val="9"/>
    <w:rsid w:val="00892002"/>
    <w:rPr>
      <w:rFonts w:asciiTheme="majorHAnsi" w:eastAsiaTheme="majorEastAsia" w:hAnsiTheme="majorHAnsi" w:cstheme="majorBidi"/>
      <w:bCs/>
      <w:iCs/>
    </w:rPr>
  </w:style>
  <w:style w:type="character" w:customStyle="1" w:styleId="Heading2Char">
    <w:name w:val="Heading 2 Char"/>
    <w:basedOn w:val="DefaultParagraphFont"/>
    <w:link w:val="Heading2"/>
    <w:uiPriority w:val="9"/>
    <w:rsid w:val="00443E5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947E73"/>
    <w:rPr>
      <w:rFonts w:asciiTheme="majorHAnsi" w:eastAsiaTheme="majorEastAsia" w:hAnsiTheme="majorHAnsi" w:cstheme="majorBidi"/>
      <w:b/>
      <w:bCs/>
      <w:sz w:val="28"/>
      <w:szCs w:val="28"/>
    </w:rPr>
  </w:style>
  <w:style w:type="character" w:customStyle="1" w:styleId="Heading5Char">
    <w:name w:val="Heading 5 Char"/>
    <w:basedOn w:val="DefaultParagraphFont"/>
    <w:link w:val="Heading5"/>
    <w:uiPriority w:val="9"/>
    <w:rsid w:val="00443E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43E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43E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43E5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43E5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nhideWhenUsed/>
    <w:qFormat/>
    <w:rsid w:val="00443E51"/>
    <w:pPr>
      <w:spacing w:line="240" w:lineRule="auto"/>
    </w:pPr>
    <w:rPr>
      <w:b/>
      <w:bCs/>
      <w:color w:val="4F81BD" w:themeColor="accent1"/>
      <w:sz w:val="18"/>
      <w:szCs w:val="18"/>
    </w:rPr>
  </w:style>
  <w:style w:type="paragraph" w:styleId="Title">
    <w:name w:val="Title"/>
    <w:basedOn w:val="Normal"/>
    <w:next w:val="Normal"/>
    <w:link w:val="TitleChar"/>
    <w:uiPriority w:val="10"/>
    <w:qFormat/>
    <w:rsid w:val="00443E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3E5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43E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43E5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43E51"/>
    <w:rPr>
      <w:b/>
      <w:bCs/>
    </w:rPr>
  </w:style>
  <w:style w:type="character" w:styleId="Emphasis">
    <w:name w:val="Emphasis"/>
    <w:basedOn w:val="DefaultParagraphFont"/>
    <w:uiPriority w:val="20"/>
    <w:qFormat/>
    <w:rsid w:val="00443E51"/>
    <w:rPr>
      <w:i/>
      <w:iCs/>
    </w:rPr>
  </w:style>
  <w:style w:type="paragraph" w:styleId="NoSpacing">
    <w:name w:val="No Spacing"/>
    <w:uiPriority w:val="1"/>
    <w:qFormat/>
    <w:rsid w:val="00443E51"/>
    <w:pPr>
      <w:spacing w:after="0" w:line="240" w:lineRule="auto"/>
    </w:pPr>
  </w:style>
  <w:style w:type="paragraph" w:styleId="ListParagraph">
    <w:name w:val="List Paragraph"/>
    <w:basedOn w:val="Normal"/>
    <w:uiPriority w:val="34"/>
    <w:qFormat/>
    <w:rsid w:val="00443E51"/>
    <w:pPr>
      <w:ind w:left="720"/>
      <w:contextualSpacing/>
    </w:pPr>
  </w:style>
  <w:style w:type="paragraph" w:styleId="Quote">
    <w:name w:val="Quote"/>
    <w:basedOn w:val="Normal"/>
    <w:next w:val="Normal"/>
    <w:link w:val="QuoteChar"/>
    <w:uiPriority w:val="29"/>
    <w:qFormat/>
    <w:rsid w:val="001D4A1D"/>
    <w:pPr>
      <w:ind w:left="720"/>
    </w:pPr>
    <w:rPr>
      <w:i/>
      <w:iCs/>
      <w:color w:val="000000" w:themeColor="text1"/>
    </w:rPr>
  </w:style>
  <w:style w:type="character" w:customStyle="1" w:styleId="QuoteChar">
    <w:name w:val="Quote Char"/>
    <w:basedOn w:val="DefaultParagraphFont"/>
    <w:link w:val="Quote"/>
    <w:uiPriority w:val="29"/>
    <w:rsid w:val="001D4A1D"/>
    <w:rPr>
      <w:i/>
      <w:iCs/>
      <w:color w:val="000000" w:themeColor="text1"/>
    </w:rPr>
  </w:style>
  <w:style w:type="paragraph" w:styleId="IntenseQuote">
    <w:name w:val="Intense Quote"/>
    <w:basedOn w:val="Normal"/>
    <w:next w:val="Normal"/>
    <w:link w:val="IntenseQuoteChar"/>
    <w:uiPriority w:val="30"/>
    <w:qFormat/>
    <w:rsid w:val="00443E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43E51"/>
    <w:rPr>
      <w:b/>
      <w:bCs/>
      <w:i/>
      <w:iCs/>
      <w:color w:val="4F81BD" w:themeColor="accent1"/>
    </w:rPr>
  </w:style>
  <w:style w:type="character" w:styleId="SubtleEmphasis">
    <w:name w:val="Subtle Emphasis"/>
    <w:basedOn w:val="DefaultParagraphFont"/>
    <w:uiPriority w:val="19"/>
    <w:qFormat/>
    <w:rsid w:val="00443E51"/>
    <w:rPr>
      <w:i/>
      <w:iCs/>
      <w:color w:val="808080" w:themeColor="text1" w:themeTint="7F"/>
    </w:rPr>
  </w:style>
  <w:style w:type="character" w:styleId="IntenseEmphasis">
    <w:name w:val="Intense Emphasis"/>
    <w:basedOn w:val="DefaultParagraphFont"/>
    <w:uiPriority w:val="21"/>
    <w:qFormat/>
    <w:rsid w:val="00443E51"/>
    <w:rPr>
      <w:b/>
      <w:bCs/>
      <w:i/>
      <w:iCs/>
      <w:color w:val="4F81BD" w:themeColor="accent1"/>
    </w:rPr>
  </w:style>
  <w:style w:type="character" w:styleId="SubtleReference">
    <w:name w:val="Subtle Reference"/>
    <w:basedOn w:val="DefaultParagraphFont"/>
    <w:uiPriority w:val="31"/>
    <w:qFormat/>
    <w:rsid w:val="00443E51"/>
    <w:rPr>
      <w:smallCaps/>
      <w:color w:val="C0504D" w:themeColor="accent2"/>
      <w:u w:val="single"/>
    </w:rPr>
  </w:style>
  <w:style w:type="character" w:styleId="IntenseReference">
    <w:name w:val="Intense Reference"/>
    <w:basedOn w:val="DefaultParagraphFont"/>
    <w:uiPriority w:val="32"/>
    <w:qFormat/>
    <w:rsid w:val="00443E51"/>
    <w:rPr>
      <w:b/>
      <w:bCs/>
      <w:smallCaps/>
      <w:color w:val="C0504D" w:themeColor="accent2"/>
      <w:spacing w:val="5"/>
      <w:u w:val="single"/>
    </w:rPr>
  </w:style>
  <w:style w:type="character" w:styleId="BookTitle">
    <w:name w:val="Book Title"/>
    <w:basedOn w:val="DefaultParagraphFont"/>
    <w:uiPriority w:val="33"/>
    <w:qFormat/>
    <w:rsid w:val="00443E51"/>
    <w:rPr>
      <w:b/>
      <w:bCs/>
      <w:smallCaps/>
      <w:spacing w:val="5"/>
    </w:rPr>
  </w:style>
  <w:style w:type="paragraph" w:styleId="TOCHeading">
    <w:name w:val="TOC Heading"/>
    <w:basedOn w:val="Heading1"/>
    <w:next w:val="Normal"/>
    <w:uiPriority w:val="39"/>
    <w:semiHidden/>
    <w:unhideWhenUsed/>
    <w:qFormat/>
    <w:rsid w:val="00443E51"/>
    <w:pPr>
      <w:outlineLvl w:val="9"/>
    </w:pPr>
  </w:style>
  <w:style w:type="paragraph" w:styleId="CommentText">
    <w:name w:val="annotation text"/>
    <w:basedOn w:val="Normal"/>
    <w:link w:val="CommentTextChar"/>
    <w:uiPriority w:val="99"/>
    <w:unhideWhenUsed/>
    <w:rsid w:val="008B7355"/>
    <w:pPr>
      <w:spacing w:line="240" w:lineRule="auto"/>
    </w:pPr>
    <w:rPr>
      <w:rFonts w:ascii="Arial" w:hAnsi="Arial"/>
      <w:szCs w:val="20"/>
      <w:lang w:val="en-US"/>
    </w:rPr>
  </w:style>
  <w:style w:type="character" w:customStyle="1" w:styleId="CommentTextChar">
    <w:name w:val="Comment Text Char"/>
    <w:basedOn w:val="DefaultParagraphFont"/>
    <w:link w:val="CommentText"/>
    <w:uiPriority w:val="99"/>
    <w:rsid w:val="008B7355"/>
    <w:rPr>
      <w:rFonts w:ascii="Arial" w:hAnsi="Arial"/>
      <w:szCs w:val="20"/>
    </w:rPr>
  </w:style>
  <w:style w:type="character" w:styleId="Hyperlink">
    <w:name w:val="Hyperlink"/>
    <w:basedOn w:val="DefaultParagraphFont"/>
    <w:uiPriority w:val="99"/>
    <w:unhideWhenUsed/>
    <w:rsid w:val="00042F7F"/>
    <w:rPr>
      <w:color w:val="0000FF" w:themeColor="hyperlink"/>
      <w:u w:val="single"/>
    </w:rPr>
  </w:style>
  <w:style w:type="paragraph" w:styleId="FootnoteText">
    <w:name w:val="footnote text"/>
    <w:basedOn w:val="Normal"/>
    <w:link w:val="FootnoteTextChar"/>
    <w:unhideWhenUsed/>
    <w:qFormat/>
    <w:rsid w:val="00B771B9"/>
    <w:pPr>
      <w:spacing w:after="0" w:line="240" w:lineRule="auto"/>
    </w:pPr>
    <w:rPr>
      <w:sz w:val="20"/>
      <w:szCs w:val="20"/>
    </w:rPr>
  </w:style>
  <w:style w:type="character" w:customStyle="1" w:styleId="FootnoteTextChar">
    <w:name w:val="Footnote Text Char"/>
    <w:basedOn w:val="DefaultParagraphFont"/>
    <w:link w:val="FootnoteText"/>
    <w:rsid w:val="00B771B9"/>
    <w:rPr>
      <w:sz w:val="20"/>
      <w:szCs w:val="20"/>
      <w:lang w:val="en-GB"/>
    </w:rPr>
  </w:style>
  <w:style w:type="character" w:styleId="FootnoteReference">
    <w:name w:val="footnote reference"/>
    <w:basedOn w:val="DefaultParagraphFont"/>
    <w:uiPriority w:val="99"/>
    <w:unhideWhenUsed/>
    <w:rsid w:val="00B771B9"/>
    <w:rPr>
      <w:vertAlign w:val="superscript"/>
    </w:rPr>
  </w:style>
  <w:style w:type="character" w:styleId="CommentReference">
    <w:name w:val="annotation reference"/>
    <w:basedOn w:val="DefaultParagraphFont"/>
    <w:uiPriority w:val="99"/>
    <w:semiHidden/>
    <w:unhideWhenUsed/>
    <w:rsid w:val="00CB50C0"/>
    <w:rPr>
      <w:sz w:val="16"/>
      <w:szCs w:val="16"/>
    </w:rPr>
  </w:style>
  <w:style w:type="paragraph" w:styleId="CommentSubject">
    <w:name w:val="annotation subject"/>
    <w:basedOn w:val="CommentText"/>
    <w:next w:val="CommentText"/>
    <w:link w:val="CommentSubjectChar"/>
    <w:uiPriority w:val="99"/>
    <w:semiHidden/>
    <w:unhideWhenUsed/>
    <w:rsid w:val="00CB50C0"/>
    <w:rPr>
      <w:rFonts w:asciiTheme="minorHAnsi" w:hAnsiTheme="minorHAnsi"/>
      <w:b/>
      <w:bCs/>
      <w:sz w:val="20"/>
      <w:lang w:val="en-GB"/>
    </w:rPr>
  </w:style>
  <w:style w:type="character" w:customStyle="1" w:styleId="CommentSubjectChar">
    <w:name w:val="Comment Subject Char"/>
    <w:basedOn w:val="CommentTextChar"/>
    <w:link w:val="CommentSubject"/>
    <w:uiPriority w:val="99"/>
    <w:semiHidden/>
    <w:rsid w:val="00CB50C0"/>
    <w:rPr>
      <w:rFonts w:ascii="Arial" w:hAnsi="Arial"/>
      <w:b/>
      <w:bCs/>
      <w:sz w:val="20"/>
      <w:szCs w:val="20"/>
      <w:lang w:val="en-GB"/>
    </w:rPr>
  </w:style>
  <w:style w:type="paragraph" w:styleId="BalloonText">
    <w:name w:val="Balloon Text"/>
    <w:basedOn w:val="Normal"/>
    <w:link w:val="BalloonTextChar"/>
    <w:uiPriority w:val="99"/>
    <w:semiHidden/>
    <w:unhideWhenUsed/>
    <w:rsid w:val="00CB5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0C0"/>
    <w:rPr>
      <w:rFonts w:ascii="Tahoma" w:hAnsi="Tahoma" w:cs="Tahoma"/>
      <w:sz w:val="16"/>
      <w:szCs w:val="16"/>
      <w:lang w:val="en-GB"/>
    </w:rPr>
  </w:style>
  <w:style w:type="table" w:styleId="TableGrid">
    <w:name w:val="Table Grid"/>
    <w:basedOn w:val="TableNormal"/>
    <w:uiPriority w:val="59"/>
    <w:rsid w:val="0063393E"/>
    <w:pPr>
      <w:spacing w:after="0" w:line="240" w:lineRule="auto"/>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lowTable">
    <w:name w:val="Below_Table"/>
    <w:basedOn w:val="Normal"/>
    <w:link w:val="BelowTableChar"/>
    <w:qFormat/>
    <w:rsid w:val="0063393E"/>
    <w:pPr>
      <w:spacing w:before="60" w:after="0" w:line="240" w:lineRule="auto"/>
      <w:ind w:left="1843" w:right="1230"/>
      <w:jc w:val="both"/>
    </w:pPr>
    <w:rPr>
      <w:rFonts w:eastAsia="SimSun" w:cs="Times New Roman"/>
      <w:i/>
      <w:iCs/>
      <w:color w:val="000000"/>
      <w:sz w:val="18"/>
      <w:szCs w:val="18"/>
      <w:lang w:val="en-US"/>
    </w:rPr>
  </w:style>
  <w:style w:type="character" w:customStyle="1" w:styleId="BelowTableChar">
    <w:name w:val="Below_Table Char"/>
    <w:basedOn w:val="DefaultParagraphFont"/>
    <w:link w:val="BelowTable"/>
    <w:rsid w:val="0063393E"/>
    <w:rPr>
      <w:rFonts w:eastAsia="SimSun" w:cs="Times New Roman"/>
      <w:i/>
      <w:iCs/>
      <w:color w:val="000000"/>
      <w:sz w:val="18"/>
      <w:szCs w:val="18"/>
      <w:lang w:bidi="ar-SA"/>
    </w:rPr>
  </w:style>
  <w:style w:type="table" w:customStyle="1" w:styleId="MediumList11">
    <w:name w:val="Medium List 11"/>
    <w:basedOn w:val="TableNormal"/>
    <w:uiPriority w:val="65"/>
    <w:rsid w:val="0063393E"/>
    <w:pPr>
      <w:spacing w:after="0" w:line="240" w:lineRule="auto"/>
    </w:pPr>
    <w:rPr>
      <w:rFonts w:ascii="Times New Roman" w:eastAsia="SimSun" w:hAnsi="Times New Roman" w:cs="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OC1">
    <w:name w:val="toc 1"/>
    <w:basedOn w:val="Normal"/>
    <w:next w:val="Normal"/>
    <w:autoRedefine/>
    <w:uiPriority w:val="39"/>
    <w:semiHidden/>
    <w:unhideWhenUsed/>
    <w:rsid w:val="004A0E74"/>
    <w:pPr>
      <w:spacing w:after="100"/>
    </w:pPr>
  </w:style>
  <w:style w:type="paragraph" w:styleId="Header">
    <w:name w:val="header"/>
    <w:basedOn w:val="Normal"/>
    <w:link w:val="HeaderChar"/>
    <w:uiPriority w:val="99"/>
    <w:semiHidden/>
    <w:unhideWhenUsed/>
    <w:rsid w:val="00394AA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94AAF"/>
    <w:rPr>
      <w:lang w:val="en-GB"/>
    </w:rPr>
  </w:style>
  <w:style w:type="paragraph" w:styleId="Footer">
    <w:name w:val="footer"/>
    <w:basedOn w:val="Normal"/>
    <w:link w:val="FooterChar"/>
    <w:uiPriority w:val="99"/>
    <w:unhideWhenUsed/>
    <w:rsid w:val="00394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AAF"/>
    <w:rPr>
      <w:lang w:val="en-GB"/>
    </w:rPr>
  </w:style>
  <w:style w:type="character" w:styleId="FollowedHyperlink">
    <w:name w:val="FollowedHyperlink"/>
    <w:basedOn w:val="DefaultParagraphFont"/>
    <w:uiPriority w:val="99"/>
    <w:semiHidden/>
    <w:unhideWhenUsed/>
    <w:rsid w:val="001110F7"/>
    <w:rPr>
      <w:color w:val="800080" w:themeColor="followedHyperlink"/>
      <w:u w:val="single"/>
    </w:rPr>
  </w:style>
  <w:style w:type="paragraph" w:styleId="NormalWeb">
    <w:name w:val="Normal (Web)"/>
    <w:basedOn w:val="Normal"/>
    <w:uiPriority w:val="99"/>
    <w:unhideWhenUsed/>
    <w:rsid w:val="008920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6253E"/>
  </w:style>
  <w:style w:type="paragraph" w:customStyle="1" w:styleId="EndNoteBibliographyTitle">
    <w:name w:val="EndNote Bibliography Title"/>
    <w:basedOn w:val="Normal"/>
    <w:link w:val="EndNoteBibliographyTitleChar"/>
    <w:rsid w:val="000E0F60"/>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0E0F60"/>
    <w:rPr>
      <w:rFonts w:ascii="Calibri" w:hAnsi="Calibri"/>
      <w:noProof/>
    </w:rPr>
  </w:style>
  <w:style w:type="paragraph" w:customStyle="1" w:styleId="EndNoteBibliography">
    <w:name w:val="EndNote Bibliography"/>
    <w:basedOn w:val="Normal"/>
    <w:link w:val="EndNoteBibliographyChar"/>
    <w:rsid w:val="000E0F60"/>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0E0F60"/>
    <w:rPr>
      <w:rFonts w:ascii="Calibri" w:hAnsi="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E73"/>
    <w:pPr>
      <w:spacing w:after="360"/>
    </w:pPr>
  </w:style>
  <w:style w:type="paragraph" w:styleId="Heading1">
    <w:name w:val="heading 1"/>
    <w:basedOn w:val="Normal"/>
    <w:next w:val="Normal"/>
    <w:link w:val="Heading1Char"/>
    <w:qFormat/>
    <w:rsid w:val="00947E73"/>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43E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92002"/>
    <w:pPr>
      <w:keepNext/>
      <w:keepLines/>
      <w:spacing w:after="0"/>
      <w:outlineLvl w:val="2"/>
    </w:pPr>
    <w:rPr>
      <w:rFonts w:asciiTheme="majorHAnsi" w:eastAsiaTheme="majorEastAsia" w:hAnsiTheme="majorHAnsi" w:cstheme="majorBidi"/>
      <w:bCs/>
      <w:i/>
    </w:rPr>
  </w:style>
  <w:style w:type="paragraph" w:styleId="Heading4">
    <w:name w:val="heading 4"/>
    <w:basedOn w:val="Normal"/>
    <w:next w:val="Normal"/>
    <w:link w:val="Heading4Char"/>
    <w:uiPriority w:val="9"/>
    <w:unhideWhenUsed/>
    <w:qFormat/>
    <w:rsid w:val="00892002"/>
    <w:pPr>
      <w:keepNext/>
      <w:keepLines/>
      <w:spacing w:after="0"/>
      <w:outlineLvl w:val="3"/>
    </w:pPr>
    <w:rPr>
      <w:rFonts w:asciiTheme="majorHAnsi" w:eastAsiaTheme="majorEastAsia" w:hAnsiTheme="majorHAnsi" w:cstheme="majorBidi"/>
      <w:bCs/>
      <w:iCs/>
    </w:rPr>
  </w:style>
  <w:style w:type="paragraph" w:styleId="Heading5">
    <w:name w:val="heading 5"/>
    <w:basedOn w:val="Normal"/>
    <w:next w:val="Normal"/>
    <w:link w:val="Heading5Char"/>
    <w:uiPriority w:val="9"/>
    <w:semiHidden/>
    <w:unhideWhenUsed/>
    <w:qFormat/>
    <w:rsid w:val="00443E5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3E5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43E5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43E5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43E5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2002"/>
    <w:rPr>
      <w:rFonts w:asciiTheme="majorHAnsi" w:eastAsiaTheme="majorEastAsia" w:hAnsiTheme="majorHAnsi" w:cstheme="majorBidi"/>
      <w:bCs/>
      <w:i/>
    </w:rPr>
  </w:style>
  <w:style w:type="character" w:customStyle="1" w:styleId="Heading4Char">
    <w:name w:val="Heading 4 Char"/>
    <w:basedOn w:val="DefaultParagraphFont"/>
    <w:link w:val="Heading4"/>
    <w:uiPriority w:val="9"/>
    <w:rsid w:val="00892002"/>
    <w:rPr>
      <w:rFonts w:asciiTheme="majorHAnsi" w:eastAsiaTheme="majorEastAsia" w:hAnsiTheme="majorHAnsi" w:cstheme="majorBidi"/>
      <w:bCs/>
      <w:iCs/>
    </w:rPr>
  </w:style>
  <w:style w:type="character" w:customStyle="1" w:styleId="Heading2Char">
    <w:name w:val="Heading 2 Char"/>
    <w:basedOn w:val="DefaultParagraphFont"/>
    <w:link w:val="Heading2"/>
    <w:uiPriority w:val="9"/>
    <w:rsid w:val="00443E5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947E73"/>
    <w:rPr>
      <w:rFonts w:asciiTheme="majorHAnsi" w:eastAsiaTheme="majorEastAsia" w:hAnsiTheme="majorHAnsi" w:cstheme="majorBidi"/>
      <w:b/>
      <w:bCs/>
      <w:sz w:val="28"/>
      <w:szCs w:val="28"/>
    </w:rPr>
  </w:style>
  <w:style w:type="character" w:customStyle="1" w:styleId="Heading5Char">
    <w:name w:val="Heading 5 Char"/>
    <w:basedOn w:val="DefaultParagraphFont"/>
    <w:link w:val="Heading5"/>
    <w:uiPriority w:val="9"/>
    <w:rsid w:val="00443E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43E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43E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43E5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43E5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nhideWhenUsed/>
    <w:qFormat/>
    <w:rsid w:val="00443E51"/>
    <w:pPr>
      <w:spacing w:line="240" w:lineRule="auto"/>
    </w:pPr>
    <w:rPr>
      <w:b/>
      <w:bCs/>
      <w:color w:val="4F81BD" w:themeColor="accent1"/>
      <w:sz w:val="18"/>
      <w:szCs w:val="18"/>
    </w:rPr>
  </w:style>
  <w:style w:type="paragraph" w:styleId="Title">
    <w:name w:val="Title"/>
    <w:basedOn w:val="Normal"/>
    <w:next w:val="Normal"/>
    <w:link w:val="TitleChar"/>
    <w:uiPriority w:val="10"/>
    <w:qFormat/>
    <w:rsid w:val="00443E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3E5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43E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43E5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43E51"/>
    <w:rPr>
      <w:b/>
      <w:bCs/>
    </w:rPr>
  </w:style>
  <w:style w:type="character" w:styleId="Emphasis">
    <w:name w:val="Emphasis"/>
    <w:basedOn w:val="DefaultParagraphFont"/>
    <w:uiPriority w:val="20"/>
    <w:qFormat/>
    <w:rsid w:val="00443E51"/>
    <w:rPr>
      <w:i/>
      <w:iCs/>
    </w:rPr>
  </w:style>
  <w:style w:type="paragraph" w:styleId="NoSpacing">
    <w:name w:val="No Spacing"/>
    <w:uiPriority w:val="1"/>
    <w:qFormat/>
    <w:rsid w:val="00443E51"/>
    <w:pPr>
      <w:spacing w:after="0" w:line="240" w:lineRule="auto"/>
    </w:pPr>
  </w:style>
  <w:style w:type="paragraph" w:styleId="ListParagraph">
    <w:name w:val="List Paragraph"/>
    <w:basedOn w:val="Normal"/>
    <w:uiPriority w:val="34"/>
    <w:qFormat/>
    <w:rsid w:val="00443E51"/>
    <w:pPr>
      <w:ind w:left="720"/>
      <w:contextualSpacing/>
    </w:pPr>
  </w:style>
  <w:style w:type="paragraph" w:styleId="Quote">
    <w:name w:val="Quote"/>
    <w:basedOn w:val="Normal"/>
    <w:next w:val="Normal"/>
    <w:link w:val="QuoteChar"/>
    <w:uiPriority w:val="29"/>
    <w:qFormat/>
    <w:rsid w:val="001D4A1D"/>
    <w:pPr>
      <w:ind w:left="720"/>
    </w:pPr>
    <w:rPr>
      <w:i/>
      <w:iCs/>
      <w:color w:val="000000" w:themeColor="text1"/>
    </w:rPr>
  </w:style>
  <w:style w:type="character" w:customStyle="1" w:styleId="QuoteChar">
    <w:name w:val="Quote Char"/>
    <w:basedOn w:val="DefaultParagraphFont"/>
    <w:link w:val="Quote"/>
    <w:uiPriority w:val="29"/>
    <w:rsid w:val="001D4A1D"/>
    <w:rPr>
      <w:i/>
      <w:iCs/>
      <w:color w:val="000000" w:themeColor="text1"/>
    </w:rPr>
  </w:style>
  <w:style w:type="paragraph" w:styleId="IntenseQuote">
    <w:name w:val="Intense Quote"/>
    <w:basedOn w:val="Normal"/>
    <w:next w:val="Normal"/>
    <w:link w:val="IntenseQuoteChar"/>
    <w:uiPriority w:val="30"/>
    <w:qFormat/>
    <w:rsid w:val="00443E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43E51"/>
    <w:rPr>
      <w:b/>
      <w:bCs/>
      <w:i/>
      <w:iCs/>
      <w:color w:val="4F81BD" w:themeColor="accent1"/>
    </w:rPr>
  </w:style>
  <w:style w:type="character" w:styleId="SubtleEmphasis">
    <w:name w:val="Subtle Emphasis"/>
    <w:basedOn w:val="DefaultParagraphFont"/>
    <w:uiPriority w:val="19"/>
    <w:qFormat/>
    <w:rsid w:val="00443E51"/>
    <w:rPr>
      <w:i/>
      <w:iCs/>
      <w:color w:val="808080" w:themeColor="text1" w:themeTint="7F"/>
    </w:rPr>
  </w:style>
  <w:style w:type="character" w:styleId="IntenseEmphasis">
    <w:name w:val="Intense Emphasis"/>
    <w:basedOn w:val="DefaultParagraphFont"/>
    <w:uiPriority w:val="21"/>
    <w:qFormat/>
    <w:rsid w:val="00443E51"/>
    <w:rPr>
      <w:b/>
      <w:bCs/>
      <w:i/>
      <w:iCs/>
      <w:color w:val="4F81BD" w:themeColor="accent1"/>
    </w:rPr>
  </w:style>
  <w:style w:type="character" w:styleId="SubtleReference">
    <w:name w:val="Subtle Reference"/>
    <w:basedOn w:val="DefaultParagraphFont"/>
    <w:uiPriority w:val="31"/>
    <w:qFormat/>
    <w:rsid w:val="00443E51"/>
    <w:rPr>
      <w:smallCaps/>
      <w:color w:val="C0504D" w:themeColor="accent2"/>
      <w:u w:val="single"/>
    </w:rPr>
  </w:style>
  <w:style w:type="character" w:styleId="IntenseReference">
    <w:name w:val="Intense Reference"/>
    <w:basedOn w:val="DefaultParagraphFont"/>
    <w:uiPriority w:val="32"/>
    <w:qFormat/>
    <w:rsid w:val="00443E51"/>
    <w:rPr>
      <w:b/>
      <w:bCs/>
      <w:smallCaps/>
      <w:color w:val="C0504D" w:themeColor="accent2"/>
      <w:spacing w:val="5"/>
      <w:u w:val="single"/>
    </w:rPr>
  </w:style>
  <w:style w:type="character" w:styleId="BookTitle">
    <w:name w:val="Book Title"/>
    <w:basedOn w:val="DefaultParagraphFont"/>
    <w:uiPriority w:val="33"/>
    <w:qFormat/>
    <w:rsid w:val="00443E51"/>
    <w:rPr>
      <w:b/>
      <w:bCs/>
      <w:smallCaps/>
      <w:spacing w:val="5"/>
    </w:rPr>
  </w:style>
  <w:style w:type="paragraph" w:styleId="TOCHeading">
    <w:name w:val="TOC Heading"/>
    <w:basedOn w:val="Heading1"/>
    <w:next w:val="Normal"/>
    <w:uiPriority w:val="39"/>
    <w:semiHidden/>
    <w:unhideWhenUsed/>
    <w:qFormat/>
    <w:rsid w:val="00443E51"/>
    <w:pPr>
      <w:outlineLvl w:val="9"/>
    </w:pPr>
  </w:style>
  <w:style w:type="paragraph" w:styleId="CommentText">
    <w:name w:val="annotation text"/>
    <w:basedOn w:val="Normal"/>
    <w:link w:val="CommentTextChar"/>
    <w:uiPriority w:val="99"/>
    <w:unhideWhenUsed/>
    <w:rsid w:val="008B7355"/>
    <w:pPr>
      <w:spacing w:line="240" w:lineRule="auto"/>
    </w:pPr>
    <w:rPr>
      <w:rFonts w:ascii="Arial" w:hAnsi="Arial"/>
      <w:szCs w:val="20"/>
      <w:lang w:val="en-US"/>
    </w:rPr>
  </w:style>
  <w:style w:type="character" w:customStyle="1" w:styleId="CommentTextChar">
    <w:name w:val="Comment Text Char"/>
    <w:basedOn w:val="DefaultParagraphFont"/>
    <w:link w:val="CommentText"/>
    <w:uiPriority w:val="99"/>
    <w:rsid w:val="008B7355"/>
    <w:rPr>
      <w:rFonts w:ascii="Arial" w:hAnsi="Arial"/>
      <w:szCs w:val="20"/>
    </w:rPr>
  </w:style>
  <w:style w:type="character" w:styleId="Hyperlink">
    <w:name w:val="Hyperlink"/>
    <w:basedOn w:val="DefaultParagraphFont"/>
    <w:uiPriority w:val="99"/>
    <w:unhideWhenUsed/>
    <w:rsid w:val="00042F7F"/>
    <w:rPr>
      <w:color w:val="0000FF" w:themeColor="hyperlink"/>
      <w:u w:val="single"/>
    </w:rPr>
  </w:style>
  <w:style w:type="paragraph" w:styleId="FootnoteText">
    <w:name w:val="footnote text"/>
    <w:basedOn w:val="Normal"/>
    <w:link w:val="FootnoteTextChar"/>
    <w:unhideWhenUsed/>
    <w:qFormat/>
    <w:rsid w:val="00B771B9"/>
    <w:pPr>
      <w:spacing w:after="0" w:line="240" w:lineRule="auto"/>
    </w:pPr>
    <w:rPr>
      <w:sz w:val="20"/>
      <w:szCs w:val="20"/>
    </w:rPr>
  </w:style>
  <w:style w:type="character" w:customStyle="1" w:styleId="FootnoteTextChar">
    <w:name w:val="Footnote Text Char"/>
    <w:basedOn w:val="DefaultParagraphFont"/>
    <w:link w:val="FootnoteText"/>
    <w:rsid w:val="00B771B9"/>
    <w:rPr>
      <w:sz w:val="20"/>
      <w:szCs w:val="20"/>
      <w:lang w:val="en-GB"/>
    </w:rPr>
  </w:style>
  <w:style w:type="character" w:styleId="FootnoteReference">
    <w:name w:val="footnote reference"/>
    <w:basedOn w:val="DefaultParagraphFont"/>
    <w:uiPriority w:val="99"/>
    <w:unhideWhenUsed/>
    <w:rsid w:val="00B771B9"/>
    <w:rPr>
      <w:vertAlign w:val="superscript"/>
    </w:rPr>
  </w:style>
  <w:style w:type="character" w:styleId="CommentReference">
    <w:name w:val="annotation reference"/>
    <w:basedOn w:val="DefaultParagraphFont"/>
    <w:uiPriority w:val="99"/>
    <w:semiHidden/>
    <w:unhideWhenUsed/>
    <w:rsid w:val="00CB50C0"/>
    <w:rPr>
      <w:sz w:val="16"/>
      <w:szCs w:val="16"/>
    </w:rPr>
  </w:style>
  <w:style w:type="paragraph" w:styleId="CommentSubject">
    <w:name w:val="annotation subject"/>
    <w:basedOn w:val="CommentText"/>
    <w:next w:val="CommentText"/>
    <w:link w:val="CommentSubjectChar"/>
    <w:uiPriority w:val="99"/>
    <w:semiHidden/>
    <w:unhideWhenUsed/>
    <w:rsid w:val="00CB50C0"/>
    <w:rPr>
      <w:rFonts w:asciiTheme="minorHAnsi" w:hAnsiTheme="minorHAnsi"/>
      <w:b/>
      <w:bCs/>
      <w:sz w:val="20"/>
      <w:lang w:val="en-GB"/>
    </w:rPr>
  </w:style>
  <w:style w:type="character" w:customStyle="1" w:styleId="CommentSubjectChar">
    <w:name w:val="Comment Subject Char"/>
    <w:basedOn w:val="CommentTextChar"/>
    <w:link w:val="CommentSubject"/>
    <w:uiPriority w:val="99"/>
    <w:semiHidden/>
    <w:rsid w:val="00CB50C0"/>
    <w:rPr>
      <w:rFonts w:ascii="Arial" w:hAnsi="Arial"/>
      <w:b/>
      <w:bCs/>
      <w:sz w:val="20"/>
      <w:szCs w:val="20"/>
      <w:lang w:val="en-GB"/>
    </w:rPr>
  </w:style>
  <w:style w:type="paragraph" w:styleId="BalloonText">
    <w:name w:val="Balloon Text"/>
    <w:basedOn w:val="Normal"/>
    <w:link w:val="BalloonTextChar"/>
    <w:uiPriority w:val="99"/>
    <w:semiHidden/>
    <w:unhideWhenUsed/>
    <w:rsid w:val="00CB5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0C0"/>
    <w:rPr>
      <w:rFonts w:ascii="Tahoma" w:hAnsi="Tahoma" w:cs="Tahoma"/>
      <w:sz w:val="16"/>
      <w:szCs w:val="16"/>
      <w:lang w:val="en-GB"/>
    </w:rPr>
  </w:style>
  <w:style w:type="table" w:styleId="TableGrid">
    <w:name w:val="Table Grid"/>
    <w:basedOn w:val="TableNormal"/>
    <w:uiPriority w:val="59"/>
    <w:rsid w:val="0063393E"/>
    <w:pPr>
      <w:spacing w:after="0" w:line="240" w:lineRule="auto"/>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lowTable">
    <w:name w:val="Below_Table"/>
    <w:basedOn w:val="Normal"/>
    <w:link w:val="BelowTableChar"/>
    <w:qFormat/>
    <w:rsid w:val="0063393E"/>
    <w:pPr>
      <w:spacing w:before="60" w:after="0" w:line="240" w:lineRule="auto"/>
      <w:ind w:left="1843" w:right="1230"/>
      <w:jc w:val="both"/>
    </w:pPr>
    <w:rPr>
      <w:rFonts w:eastAsia="SimSun" w:cs="Times New Roman"/>
      <w:i/>
      <w:iCs/>
      <w:color w:val="000000"/>
      <w:sz w:val="18"/>
      <w:szCs w:val="18"/>
      <w:lang w:val="en-US"/>
    </w:rPr>
  </w:style>
  <w:style w:type="character" w:customStyle="1" w:styleId="BelowTableChar">
    <w:name w:val="Below_Table Char"/>
    <w:basedOn w:val="DefaultParagraphFont"/>
    <w:link w:val="BelowTable"/>
    <w:rsid w:val="0063393E"/>
    <w:rPr>
      <w:rFonts w:eastAsia="SimSun" w:cs="Times New Roman"/>
      <w:i/>
      <w:iCs/>
      <w:color w:val="000000"/>
      <w:sz w:val="18"/>
      <w:szCs w:val="18"/>
      <w:lang w:bidi="ar-SA"/>
    </w:rPr>
  </w:style>
  <w:style w:type="table" w:customStyle="1" w:styleId="MediumList11">
    <w:name w:val="Medium List 11"/>
    <w:basedOn w:val="TableNormal"/>
    <w:uiPriority w:val="65"/>
    <w:rsid w:val="0063393E"/>
    <w:pPr>
      <w:spacing w:after="0" w:line="240" w:lineRule="auto"/>
    </w:pPr>
    <w:rPr>
      <w:rFonts w:ascii="Times New Roman" w:eastAsia="SimSun" w:hAnsi="Times New Roman" w:cs="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OC1">
    <w:name w:val="toc 1"/>
    <w:basedOn w:val="Normal"/>
    <w:next w:val="Normal"/>
    <w:autoRedefine/>
    <w:uiPriority w:val="39"/>
    <w:semiHidden/>
    <w:unhideWhenUsed/>
    <w:rsid w:val="004A0E74"/>
    <w:pPr>
      <w:spacing w:after="100"/>
    </w:pPr>
  </w:style>
  <w:style w:type="paragraph" w:styleId="Header">
    <w:name w:val="header"/>
    <w:basedOn w:val="Normal"/>
    <w:link w:val="HeaderChar"/>
    <w:uiPriority w:val="99"/>
    <w:semiHidden/>
    <w:unhideWhenUsed/>
    <w:rsid w:val="00394AA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94AAF"/>
    <w:rPr>
      <w:lang w:val="en-GB"/>
    </w:rPr>
  </w:style>
  <w:style w:type="paragraph" w:styleId="Footer">
    <w:name w:val="footer"/>
    <w:basedOn w:val="Normal"/>
    <w:link w:val="FooterChar"/>
    <w:uiPriority w:val="99"/>
    <w:unhideWhenUsed/>
    <w:rsid w:val="00394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AAF"/>
    <w:rPr>
      <w:lang w:val="en-GB"/>
    </w:rPr>
  </w:style>
  <w:style w:type="character" w:styleId="FollowedHyperlink">
    <w:name w:val="FollowedHyperlink"/>
    <w:basedOn w:val="DefaultParagraphFont"/>
    <w:uiPriority w:val="99"/>
    <w:semiHidden/>
    <w:unhideWhenUsed/>
    <w:rsid w:val="001110F7"/>
    <w:rPr>
      <w:color w:val="800080" w:themeColor="followedHyperlink"/>
      <w:u w:val="single"/>
    </w:rPr>
  </w:style>
  <w:style w:type="paragraph" w:styleId="NormalWeb">
    <w:name w:val="Normal (Web)"/>
    <w:basedOn w:val="Normal"/>
    <w:uiPriority w:val="99"/>
    <w:unhideWhenUsed/>
    <w:rsid w:val="008920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6253E"/>
  </w:style>
  <w:style w:type="paragraph" w:customStyle="1" w:styleId="EndNoteBibliographyTitle">
    <w:name w:val="EndNote Bibliography Title"/>
    <w:basedOn w:val="Normal"/>
    <w:link w:val="EndNoteBibliographyTitleChar"/>
    <w:rsid w:val="000E0F60"/>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0E0F60"/>
    <w:rPr>
      <w:rFonts w:ascii="Calibri" w:hAnsi="Calibri"/>
      <w:noProof/>
    </w:rPr>
  </w:style>
  <w:style w:type="paragraph" w:customStyle="1" w:styleId="EndNoteBibliography">
    <w:name w:val="EndNote Bibliography"/>
    <w:basedOn w:val="Normal"/>
    <w:link w:val="EndNoteBibliographyChar"/>
    <w:rsid w:val="000E0F60"/>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0E0F60"/>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92159">
      <w:bodyDiv w:val="1"/>
      <w:marLeft w:val="0"/>
      <w:marRight w:val="0"/>
      <w:marTop w:val="0"/>
      <w:marBottom w:val="0"/>
      <w:divBdr>
        <w:top w:val="none" w:sz="0" w:space="0" w:color="auto"/>
        <w:left w:val="none" w:sz="0" w:space="0" w:color="auto"/>
        <w:bottom w:val="none" w:sz="0" w:space="0" w:color="auto"/>
        <w:right w:val="none" w:sz="0" w:space="0" w:color="auto"/>
      </w:divBdr>
    </w:div>
    <w:div w:id="275261963">
      <w:bodyDiv w:val="1"/>
      <w:marLeft w:val="0"/>
      <w:marRight w:val="0"/>
      <w:marTop w:val="0"/>
      <w:marBottom w:val="0"/>
      <w:divBdr>
        <w:top w:val="none" w:sz="0" w:space="0" w:color="auto"/>
        <w:left w:val="none" w:sz="0" w:space="0" w:color="auto"/>
        <w:bottom w:val="none" w:sz="0" w:space="0" w:color="auto"/>
        <w:right w:val="none" w:sz="0" w:space="0" w:color="auto"/>
      </w:divBdr>
    </w:div>
    <w:div w:id="275720460">
      <w:bodyDiv w:val="1"/>
      <w:marLeft w:val="0"/>
      <w:marRight w:val="0"/>
      <w:marTop w:val="0"/>
      <w:marBottom w:val="0"/>
      <w:divBdr>
        <w:top w:val="none" w:sz="0" w:space="0" w:color="auto"/>
        <w:left w:val="none" w:sz="0" w:space="0" w:color="auto"/>
        <w:bottom w:val="none" w:sz="0" w:space="0" w:color="auto"/>
        <w:right w:val="none" w:sz="0" w:space="0" w:color="auto"/>
      </w:divBdr>
      <w:divsChild>
        <w:div w:id="1600721408">
          <w:marLeft w:val="547"/>
          <w:marRight w:val="0"/>
          <w:marTop w:val="360"/>
          <w:marBottom w:val="0"/>
          <w:divBdr>
            <w:top w:val="none" w:sz="0" w:space="0" w:color="auto"/>
            <w:left w:val="none" w:sz="0" w:space="0" w:color="auto"/>
            <w:bottom w:val="none" w:sz="0" w:space="0" w:color="auto"/>
            <w:right w:val="none" w:sz="0" w:space="0" w:color="auto"/>
          </w:divBdr>
        </w:div>
      </w:divsChild>
    </w:div>
    <w:div w:id="509610402">
      <w:bodyDiv w:val="1"/>
      <w:marLeft w:val="0"/>
      <w:marRight w:val="0"/>
      <w:marTop w:val="0"/>
      <w:marBottom w:val="0"/>
      <w:divBdr>
        <w:top w:val="none" w:sz="0" w:space="0" w:color="auto"/>
        <w:left w:val="none" w:sz="0" w:space="0" w:color="auto"/>
        <w:bottom w:val="none" w:sz="0" w:space="0" w:color="auto"/>
        <w:right w:val="none" w:sz="0" w:space="0" w:color="auto"/>
      </w:divBdr>
    </w:div>
    <w:div w:id="587621522">
      <w:bodyDiv w:val="1"/>
      <w:marLeft w:val="0"/>
      <w:marRight w:val="0"/>
      <w:marTop w:val="0"/>
      <w:marBottom w:val="0"/>
      <w:divBdr>
        <w:top w:val="none" w:sz="0" w:space="0" w:color="auto"/>
        <w:left w:val="none" w:sz="0" w:space="0" w:color="auto"/>
        <w:bottom w:val="none" w:sz="0" w:space="0" w:color="auto"/>
        <w:right w:val="none" w:sz="0" w:space="0" w:color="auto"/>
      </w:divBdr>
    </w:div>
    <w:div w:id="677194127">
      <w:bodyDiv w:val="1"/>
      <w:marLeft w:val="0"/>
      <w:marRight w:val="0"/>
      <w:marTop w:val="0"/>
      <w:marBottom w:val="0"/>
      <w:divBdr>
        <w:top w:val="none" w:sz="0" w:space="0" w:color="auto"/>
        <w:left w:val="none" w:sz="0" w:space="0" w:color="auto"/>
        <w:bottom w:val="none" w:sz="0" w:space="0" w:color="auto"/>
        <w:right w:val="none" w:sz="0" w:space="0" w:color="auto"/>
      </w:divBdr>
    </w:div>
    <w:div w:id="1221163789">
      <w:bodyDiv w:val="1"/>
      <w:marLeft w:val="0"/>
      <w:marRight w:val="0"/>
      <w:marTop w:val="0"/>
      <w:marBottom w:val="0"/>
      <w:divBdr>
        <w:top w:val="none" w:sz="0" w:space="0" w:color="auto"/>
        <w:left w:val="none" w:sz="0" w:space="0" w:color="auto"/>
        <w:bottom w:val="none" w:sz="0" w:space="0" w:color="auto"/>
        <w:right w:val="none" w:sz="0" w:space="0" w:color="auto"/>
      </w:divBdr>
    </w:div>
    <w:div w:id="1275092184">
      <w:bodyDiv w:val="1"/>
      <w:marLeft w:val="0"/>
      <w:marRight w:val="0"/>
      <w:marTop w:val="0"/>
      <w:marBottom w:val="0"/>
      <w:divBdr>
        <w:top w:val="none" w:sz="0" w:space="0" w:color="auto"/>
        <w:left w:val="none" w:sz="0" w:space="0" w:color="auto"/>
        <w:bottom w:val="none" w:sz="0" w:space="0" w:color="auto"/>
        <w:right w:val="none" w:sz="0" w:space="0" w:color="auto"/>
      </w:divBdr>
    </w:div>
    <w:div w:id="1430812537">
      <w:bodyDiv w:val="1"/>
      <w:marLeft w:val="0"/>
      <w:marRight w:val="0"/>
      <w:marTop w:val="0"/>
      <w:marBottom w:val="0"/>
      <w:divBdr>
        <w:top w:val="none" w:sz="0" w:space="0" w:color="auto"/>
        <w:left w:val="none" w:sz="0" w:space="0" w:color="auto"/>
        <w:bottom w:val="none" w:sz="0" w:space="0" w:color="auto"/>
        <w:right w:val="none" w:sz="0" w:space="0" w:color="auto"/>
      </w:divBdr>
    </w:div>
    <w:div w:id="181194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pp.eurostat.ec.europa.eu/portal/page/portal/statistics/search_database"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b.p.baumberg@kent.ac.uk" TargetMode="External"/><Relationship Id="rId4" Type="http://schemas.microsoft.com/office/2007/relationships/stylesWithEffects" Target="stylesWithEffects.xml"/><Relationship Id="rId9" Type="http://schemas.openxmlformats.org/officeDocument/2006/relationships/hyperlink" Target="http://dx.doi.org/10.1111/spol.121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0A22E-1797-45C8-92D9-03EE45562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26</Pages>
  <Words>16252</Words>
  <Characters>92638</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108673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 Baumberg Geiger</cp:lastModifiedBy>
  <cp:revision>14</cp:revision>
  <dcterms:created xsi:type="dcterms:W3CDTF">2014-05-28T14:44:00Z</dcterms:created>
  <dcterms:modified xsi:type="dcterms:W3CDTF">2018-02-12T18:19:00Z</dcterms:modified>
</cp:coreProperties>
</file>